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CE291" w14:textId="77777777" w:rsidR="00EB23EE" w:rsidRDefault="00EB23EE">
      <w:pPr>
        <w:spacing w:after="0" w:line="240" w:lineRule="auto"/>
        <w:jc w:val="right"/>
        <w:rPr>
          <w:rFonts w:ascii="Times New Roman" w:eastAsia="Times New Roman" w:hAnsi="Times New Roman" w:cs="Times New Roman"/>
          <w:sz w:val="24"/>
          <w:szCs w:val="24"/>
        </w:rPr>
      </w:pPr>
    </w:p>
    <w:p w14:paraId="0A3C44A6" w14:textId="1E03F8C6" w:rsidR="005E4F1C" w:rsidRDefault="005E4F1C">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EELNÕU</w:t>
      </w:r>
    </w:p>
    <w:p w14:paraId="4E5739D8" w14:textId="3FB5C6D6" w:rsidR="005E4F1C" w:rsidRDefault="005E4F1C">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Esitaja: Kanepi Vallavalitsus</w:t>
      </w:r>
    </w:p>
    <w:p w14:paraId="16C46BBF" w14:textId="0C1A3FFB" w:rsidR="005E4F1C" w:rsidRDefault="005E4F1C">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Ettekandja: vallavanem Helen Rebane</w:t>
      </w:r>
    </w:p>
    <w:p w14:paraId="545DA3BB" w14:textId="74B1AFAD" w:rsidR="005E4F1C" w:rsidRDefault="005E4F1C">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Kaasettekandja: volikogu kultuuri- ja spordikomisjoni esimees Maris Kikkatalo</w:t>
      </w:r>
    </w:p>
    <w:p w14:paraId="1B95413D" w14:textId="05D45C85" w:rsidR="005E4F1C" w:rsidRDefault="005E4F1C">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Koostaja: arendusspetsialist Aivi Saag</w:t>
      </w:r>
    </w:p>
    <w:p w14:paraId="4E6DBDBC" w14:textId="77777777" w:rsidR="005E4F1C" w:rsidRDefault="005E4F1C">
      <w:pPr>
        <w:spacing w:after="0" w:line="240" w:lineRule="auto"/>
        <w:jc w:val="right"/>
        <w:rPr>
          <w:rFonts w:ascii="Times New Roman" w:eastAsia="Times New Roman" w:hAnsi="Times New Roman" w:cs="Times New Roman"/>
          <w:sz w:val="24"/>
          <w:szCs w:val="24"/>
        </w:rPr>
      </w:pPr>
    </w:p>
    <w:p w14:paraId="2B648554" w14:textId="77777777" w:rsidR="005E4F1C" w:rsidRDefault="005E4F1C">
      <w:pPr>
        <w:spacing w:after="0" w:line="240" w:lineRule="auto"/>
        <w:jc w:val="right"/>
        <w:rPr>
          <w:rFonts w:ascii="Times New Roman" w:eastAsia="Times New Roman" w:hAnsi="Times New Roman" w:cs="Times New Roman"/>
          <w:sz w:val="24"/>
          <w:szCs w:val="24"/>
        </w:rPr>
      </w:pPr>
    </w:p>
    <w:p w14:paraId="76EBE0CF" w14:textId="77777777" w:rsidR="005E4F1C" w:rsidRDefault="005E4F1C" w:rsidP="005E4F1C">
      <w:pPr>
        <w:spacing w:after="0" w:line="240" w:lineRule="auto"/>
        <w:rPr>
          <w:rFonts w:ascii="Times New Roman" w:eastAsia="Times New Roman" w:hAnsi="Times New Roman" w:cs="Times New Roman"/>
          <w:sz w:val="24"/>
          <w:szCs w:val="24"/>
        </w:rPr>
      </w:pPr>
    </w:p>
    <w:p w14:paraId="23433695" w14:textId="77777777" w:rsidR="005E4F1C" w:rsidRDefault="005E4F1C">
      <w:pPr>
        <w:spacing w:after="0" w:line="240" w:lineRule="auto"/>
        <w:jc w:val="right"/>
        <w:rPr>
          <w:rFonts w:ascii="Times New Roman" w:eastAsia="Times New Roman" w:hAnsi="Times New Roman" w:cs="Times New Roman"/>
          <w:sz w:val="24"/>
          <w:szCs w:val="24"/>
        </w:rPr>
      </w:pPr>
    </w:p>
    <w:p w14:paraId="61DCE292" w14:textId="77777777" w:rsidR="00EB23EE"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noProof/>
          <w:sz w:val="20"/>
          <w:szCs w:val="20"/>
        </w:rPr>
        <w:drawing>
          <wp:inline distT="0" distB="0" distL="0" distR="0" wp14:anchorId="61DCE38F" wp14:editId="61DCE390">
            <wp:extent cx="866775" cy="962025"/>
            <wp:effectExtent l="0" t="0" r="0" b="0"/>
            <wp:docPr id="3" name="image1.png" descr="C:\Users\Dell\Documents\Katrin\Vald\Uus vapp\Kanepi_vapp2.png"/>
            <wp:cNvGraphicFramePr/>
            <a:graphic xmlns:a="http://schemas.openxmlformats.org/drawingml/2006/main">
              <a:graphicData uri="http://schemas.openxmlformats.org/drawingml/2006/picture">
                <pic:pic xmlns:pic="http://schemas.openxmlformats.org/drawingml/2006/picture">
                  <pic:nvPicPr>
                    <pic:cNvPr id="0" name="image1.png" descr="C:\Users\Dell\Documents\Katrin\Vald\Uus vapp\Kanepi_vapp2.png"/>
                    <pic:cNvPicPr preferRelativeResize="0"/>
                  </pic:nvPicPr>
                  <pic:blipFill>
                    <a:blip r:embed="rId6"/>
                    <a:srcRect/>
                    <a:stretch>
                      <a:fillRect/>
                    </a:stretch>
                  </pic:blipFill>
                  <pic:spPr>
                    <a:xfrm>
                      <a:off x="0" y="0"/>
                      <a:ext cx="866775" cy="962025"/>
                    </a:xfrm>
                    <a:prstGeom prst="rect">
                      <a:avLst/>
                    </a:prstGeom>
                    <a:ln/>
                  </pic:spPr>
                </pic:pic>
              </a:graphicData>
            </a:graphic>
          </wp:inline>
        </w:drawing>
      </w:r>
    </w:p>
    <w:p w14:paraId="61DCE293" w14:textId="77777777" w:rsidR="00EB23EE" w:rsidRDefault="00000000">
      <w:pPr>
        <w:tabs>
          <w:tab w:val="left" w:pos="1132"/>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KANEPI VALLAVOLIKOGU</w:t>
      </w:r>
    </w:p>
    <w:p w14:paraId="61DCE294" w14:textId="77777777" w:rsidR="00EB23EE" w:rsidRDefault="00EB23EE">
      <w:pPr>
        <w:tabs>
          <w:tab w:val="left" w:pos="1132"/>
        </w:tabs>
        <w:spacing w:after="0" w:line="240" w:lineRule="auto"/>
        <w:rPr>
          <w:rFonts w:ascii="Times New Roman" w:eastAsia="Times New Roman" w:hAnsi="Times New Roman" w:cs="Times New Roman"/>
          <w:b/>
          <w:bCs/>
          <w:sz w:val="24"/>
          <w:szCs w:val="24"/>
        </w:rPr>
      </w:pPr>
    </w:p>
    <w:p w14:paraId="61DCE295" w14:textId="77777777" w:rsidR="00EB23EE" w:rsidRDefault="00000000">
      <w:pPr>
        <w:tabs>
          <w:tab w:val="left" w:pos="1132"/>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MÄÄRUS</w:t>
      </w:r>
    </w:p>
    <w:p w14:paraId="61DCE296" w14:textId="77777777" w:rsidR="00EB23EE" w:rsidRDefault="00EB23EE">
      <w:pPr>
        <w:tabs>
          <w:tab w:val="left" w:pos="1132"/>
        </w:tabs>
        <w:spacing w:after="0" w:line="240" w:lineRule="auto"/>
        <w:rPr>
          <w:rFonts w:ascii="Times New Roman" w:eastAsia="Times New Roman" w:hAnsi="Times New Roman" w:cs="Times New Roman"/>
          <w:sz w:val="20"/>
          <w:szCs w:val="20"/>
        </w:rPr>
      </w:pPr>
    </w:p>
    <w:p w14:paraId="61DCE297" w14:textId="4226FB95" w:rsidR="00EB23EE" w:rsidRDefault="00000000">
      <w:pPr>
        <w:tabs>
          <w:tab w:val="left" w:pos="1132"/>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Kanepi</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2026 nr 1-2/</w:t>
      </w:r>
    </w:p>
    <w:p w14:paraId="61DCE298" w14:textId="77777777" w:rsidR="00EB23EE" w:rsidRDefault="00EB23EE">
      <w:pPr>
        <w:spacing w:after="0"/>
        <w:jc w:val="center"/>
        <w:rPr>
          <w:rFonts w:ascii="Times New Roman" w:eastAsia="Times New Roman" w:hAnsi="Times New Roman" w:cs="Times New Roman"/>
          <w:b/>
          <w:bCs/>
          <w:sz w:val="24"/>
          <w:szCs w:val="24"/>
        </w:rPr>
      </w:pPr>
    </w:p>
    <w:p w14:paraId="61DCE299" w14:textId="77777777" w:rsidR="00EB23EE" w:rsidRDefault="00EB23EE">
      <w:pPr>
        <w:spacing w:after="0" w:line="240" w:lineRule="auto"/>
        <w:rPr>
          <w:rFonts w:ascii="Times New Roman" w:eastAsia="Times New Roman" w:hAnsi="Times New Roman" w:cs="Times New Roman"/>
          <w:b/>
          <w:bCs/>
          <w:sz w:val="24"/>
          <w:szCs w:val="24"/>
        </w:rPr>
      </w:pPr>
    </w:p>
    <w:p w14:paraId="61DCE29A" w14:textId="77777777" w:rsidR="00EB23EE"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Kanepi valla eelarvest mittetulunduslikuks </w:t>
      </w:r>
    </w:p>
    <w:p w14:paraId="61DCE29B" w14:textId="77777777" w:rsidR="00EB23EE"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tegevuseks toetuste andmise kord</w:t>
      </w:r>
    </w:p>
    <w:p w14:paraId="61DCE29C" w14:textId="77777777" w:rsidR="00EB23EE" w:rsidRDefault="00EB23EE">
      <w:pPr>
        <w:spacing w:after="0"/>
        <w:jc w:val="both"/>
        <w:rPr>
          <w:rFonts w:ascii="Times New Roman" w:eastAsia="Times New Roman" w:hAnsi="Times New Roman" w:cs="Times New Roman"/>
          <w:b/>
          <w:bCs/>
          <w:sz w:val="24"/>
          <w:szCs w:val="24"/>
        </w:rPr>
      </w:pPr>
    </w:p>
    <w:p w14:paraId="4FAD7E3C" w14:textId="77777777" w:rsidR="005E4F1C" w:rsidRDefault="005E4F1C">
      <w:pPr>
        <w:spacing w:after="0"/>
        <w:jc w:val="both"/>
        <w:rPr>
          <w:rFonts w:ascii="Times New Roman" w:eastAsia="Times New Roman" w:hAnsi="Times New Roman" w:cs="Times New Roman"/>
          <w:b/>
          <w:bCs/>
          <w:sz w:val="24"/>
          <w:szCs w:val="24"/>
        </w:rPr>
      </w:pPr>
    </w:p>
    <w:p w14:paraId="61DCE29E" w14:textId="4DD099D0" w:rsidR="00EB23EE" w:rsidRPr="005E4F1C" w:rsidRDefault="00000000" w:rsidP="005E4F1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Määrus kehtestatakse kohaliku omavalitsuse korralduse seaduse § 22 lõike 1 punkti 5 alusel.</w:t>
      </w:r>
    </w:p>
    <w:p w14:paraId="61DCE29F" w14:textId="77777777" w:rsidR="00EB23EE" w:rsidRDefault="00EB23EE">
      <w:pPr>
        <w:spacing w:after="0" w:line="240" w:lineRule="auto"/>
        <w:rPr>
          <w:rFonts w:ascii="Times New Roman" w:eastAsia="Times New Roman" w:hAnsi="Times New Roman" w:cs="Times New Roman"/>
          <w:sz w:val="24"/>
          <w:szCs w:val="24"/>
        </w:rPr>
      </w:pPr>
    </w:p>
    <w:p w14:paraId="61DCE2A0" w14:textId="77777777" w:rsidR="00EB23EE" w:rsidRDefault="00000000">
      <w:pPr>
        <w:spacing w:after="12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1. peatükk</w:t>
      </w:r>
    </w:p>
    <w:p w14:paraId="61DCE2A1" w14:textId="77777777" w:rsidR="00EB23EE" w:rsidRDefault="00000000">
      <w:pPr>
        <w:spacing w:after="3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ÜLDSÄTTED</w:t>
      </w:r>
    </w:p>
    <w:p w14:paraId="61DCE2A2"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1. Reguleerimisala</w:t>
      </w:r>
    </w:p>
    <w:p w14:paraId="61DCE2A3"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Käesolevas korras sätestatakse Kanepi valla eelarvest mittetulundusliku tegevuse toetuse (edaspidi toetus) taotlemise, taotluste menetlemise, toetuse eraldamise ja toetuse kasutamise üle järelevalve teostamise kord (edaspidi kord).</w:t>
      </w:r>
    </w:p>
    <w:p w14:paraId="61DCE2A4" w14:textId="77777777" w:rsidR="00EB23E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Käesolev kord ei reguleeri kuni 19-aastaste noorte huvihariduse omandamist ja huvitegevuses osalemist.</w:t>
      </w:r>
    </w:p>
    <w:p w14:paraId="63E3DA39" w14:textId="77777777" w:rsidR="001A0492" w:rsidRDefault="001A0492">
      <w:pPr>
        <w:spacing w:line="240" w:lineRule="auto"/>
        <w:jc w:val="both"/>
        <w:rPr>
          <w:rFonts w:ascii="Times New Roman" w:eastAsia="Times New Roman" w:hAnsi="Times New Roman" w:cs="Times New Roman"/>
          <w:sz w:val="20"/>
          <w:szCs w:val="20"/>
        </w:rPr>
      </w:pPr>
    </w:p>
    <w:p w14:paraId="61DCE2A5"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2. Toetuse eesmärgid</w:t>
      </w:r>
    </w:p>
    <w:p w14:paraId="61DCE2A6"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Toetuse peamine eesmärk on tugevdada Kanepi valla külades ja kohalikes piirkondades tegutsevaid kogukondlikke mittetulundusühendusi ja kodanikualgatusi, mille tegevus põhineb valdavalt vabatahtlikul panusel, millel puudub märkimisväärne püsiv müügi- või teenusetulu ning mille tegevus on suunatud eelkõige ühe või mitme Kanepi valla küla elanike ühistegevuse või kohaliku elukeskkonna arendamisele.</w:t>
      </w:r>
    </w:p>
    <w:p w14:paraId="61DCE2A7"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Toetuse andmisel eelistatakse tegevusi, mis:</w:t>
      </w:r>
    </w:p>
    <w:p w14:paraId="61DCE2A8"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elavdavad külade ja kohalike kogukondade ühistegevust;</w:t>
      </w:r>
    </w:p>
    <w:p w14:paraId="61DCE2A9"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suurendavad elanike osalemist kohaliku elu korraldamisel;</w:t>
      </w:r>
    </w:p>
    <w:p w14:paraId="61DCE2AA"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toetavad külade traditsioonide säilimist ja uute kogukondlike algatuste tekkimist;</w:t>
      </w:r>
    </w:p>
    <w:p w14:paraId="61DCE2AB"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parandavad külade ja piirkondade elukeskkonda;</w:t>
      </w:r>
    </w:p>
    <w:p w14:paraId="61DCE2AC"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5) toetavad elanikele avatud kohalike sündmuste, talgute ja muude ühistegevuste korraldamist;</w:t>
      </w:r>
    </w:p>
    <w:p w14:paraId="61DCE2AD"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arendavad väiksemate mittetulundusühenduste tegutsemisvõimekust ja jätkusuutlikkust;</w:t>
      </w:r>
    </w:p>
    <w:p w14:paraId="61DCE2AE"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7) soodustavad külade, kogukondade ja kohalike ühenduste koostööd, mis on suunatud laiemale sihtrühmale kui ühingu liikmeskond.</w:t>
      </w:r>
    </w:p>
    <w:p w14:paraId="61DCE2AF"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Toetuse eesmärk ei ole rahastada sellise ühenduse tavapärast majandustegevust, mis tegeleb järjepideva kultuuri-, meelelahutus-, etendus-, kontserdi- või festivali korraldusega või iga-aastase või hooajalise püsiprogrammi elluviimisega.</w:t>
      </w:r>
    </w:p>
    <w:p w14:paraId="61DCE2B0"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Toetust saab taotleda järgmistes valdkondades:</w:t>
      </w:r>
    </w:p>
    <w:p w14:paraId="61DCE2B1"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kultuuritegevus;</w:t>
      </w:r>
    </w:p>
    <w:p w14:paraId="61DCE2B2"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sporditegevus;</w:t>
      </w:r>
    </w:p>
    <w:p w14:paraId="61DCE2B3" w14:textId="77777777" w:rsidR="00EB23EE" w:rsidRDefault="00000000">
      <w:pPr>
        <w:spacing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ühistegevused.</w:t>
      </w:r>
    </w:p>
    <w:p w14:paraId="6D4C16D3" w14:textId="77777777" w:rsidR="001A0492" w:rsidRDefault="001A0492">
      <w:pPr>
        <w:spacing w:line="240" w:lineRule="auto"/>
        <w:ind w:left="360"/>
        <w:jc w:val="both"/>
        <w:rPr>
          <w:rFonts w:ascii="Times New Roman" w:eastAsia="Times New Roman" w:hAnsi="Times New Roman" w:cs="Times New Roman"/>
          <w:sz w:val="20"/>
          <w:szCs w:val="20"/>
        </w:rPr>
      </w:pPr>
    </w:p>
    <w:p w14:paraId="61DCE2B4"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3. Mõisted</w:t>
      </w:r>
    </w:p>
    <w:p w14:paraId="61DCE2B5"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Korras kasutatakse mõisteid järgmises tähenduses:</w:t>
      </w:r>
    </w:p>
    <w:p w14:paraId="61DCE2B6"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mittetulunduslik tegevus on kasumit mittetaotlev, valla elanikele või nende huvide elluviimisele suunatud tegevus kogukonnategevuste edendamiseks;</w:t>
      </w:r>
    </w:p>
    <w:p w14:paraId="61DCE2B7"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projekt on mittetulundustegevusena kavandatav, ajas ja ruumis piiritletud ühekordne tegevus või tegevuste jada konkreetse eesmärgi saavutamiseks määratud tähtajal;</w:t>
      </w:r>
    </w:p>
    <w:p w14:paraId="61DCE2B8"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projektitoetus on konkreetse kogukondliku projekti elluviimiseks antav sihtotstarbeline toetus;</w:t>
      </w:r>
    </w:p>
    <w:p w14:paraId="61DCE2B9"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tegevustoetus on juriidilise isiku igapäevase tegevuse korraldamiseks ning tema arengu tagamiseks valla eelarvelistest vahenditest antav sihtotstarbeline toetus;</w:t>
      </w:r>
    </w:p>
    <w:p w14:paraId="61DCE2BA"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kaasfinantseeringu toetus on vallapoolne rahaline toetus projektile, mis on saanud rahastuse riigieelarvest või välisvahenditest rahastatud programmidest ja fondidest, omaosaluse või kaasfinantseeringu toetamiseks. Kaasfinantseerimise toetuse taotlusi võib esitada kogu eelarveaasta jooksul;</w:t>
      </w:r>
    </w:p>
    <w:p w14:paraId="61DCE2BB"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valla elanik on isik, kelle elukohana rahvastikuregistris on registreeritud Kanepi vald;</w:t>
      </w:r>
    </w:p>
    <w:p w14:paraId="61DCE2BC"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7) tegevuspiirkond on taotleja tegevuskavas küla täpsusega kindlaks määratud ala;</w:t>
      </w:r>
    </w:p>
    <w:p w14:paraId="61DCE2BD"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8) eelarveaasta periood on 1. jaanuar kuni 31. detsember;</w:t>
      </w:r>
    </w:p>
    <w:p w14:paraId="61DCE2BE"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9) järjepidev tegevus on tegevus, mis toimub regulaarselt kindla mustri alusel (nt hooajaliselt, iga-aastaselt või muul viisil korduvalt) ning mis ei ole ühekordne projekt;</w:t>
      </w:r>
    </w:p>
    <w:p w14:paraId="61DCE2BF" w14:textId="77777777" w:rsidR="00EB23EE" w:rsidRDefault="00000000">
      <w:pPr>
        <w:spacing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mittetulundusühendus on mittetulundusühing, sihtasutus või seltsing;</w:t>
      </w:r>
    </w:p>
    <w:p w14:paraId="61DCE2C0" w14:textId="77777777" w:rsidR="00EB23EE" w:rsidRDefault="00000000">
      <w:pPr>
        <w:spacing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sihtotstarbeline tegevus/toetus – konkreetse tegevuse elluviimiseks.</w:t>
      </w:r>
    </w:p>
    <w:p w14:paraId="0031568D" w14:textId="77777777" w:rsidR="001A0492" w:rsidRDefault="001A0492">
      <w:pPr>
        <w:spacing w:line="240" w:lineRule="auto"/>
        <w:ind w:left="360"/>
        <w:jc w:val="both"/>
        <w:rPr>
          <w:rFonts w:ascii="Times New Roman" w:eastAsia="Times New Roman" w:hAnsi="Times New Roman" w:cs="Times New Roman"/>
          <w:sz w:val="20"/>
          <w:szCs w:val="20"/>
        </w:rPr>
      </w:pPr>
    </w:p>
    <w:p w14:paraId="61DCE2C1"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4. Toetuste määramise üldised kriteeriumid</w:t>
      </w:r>
    </w:p>
    <w:p w14:paraId="61DCE2C2"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Toetust saab taotleda Kanepi vallas tegutsev või Kanepi valla elanikele suunatud tegevusi pakkuv mittetulundusühendus. Projektitoetuse taotleja võib olla eraisik.</w:t>
      </w:r>
    </w:p>
    <w:p w14:paraId="61DCE2C3"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Toetust võib taotleda tegevusteks:</w:t>
      </w:r>
    </w:p>
    <w:p w14:paraId="61DCE2C4"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mis toimuvad üldreeglina Kanepi valla haldusterritooriumil;</w:t>
      </w:r>
    </w:p>
    <w:p w14:paraId="61DCE2C5"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mis on suunatud Kanepi valla elanikele, tutvustavad Kanepi valda laiemale üldsusele või on muul viisil seotud Kanepi vallaga;</w:t>
      </w:r>
    </w:p>
    <w:p w14:paraId="61DCE2C6"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3) mis vastavad või toetavad valla arengukavas püstitatud eesmärkide täitmist.</w:t>
      </w:r>
    </w:p>
    <w:p w14:paraId="61DCE2C7"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Toetuste kogusumma kinnitab Kanepi Vallavolikogu (edaspidi vallavolikogu) valla eelarves.</w:t>
      </w:r>
    </w:p>
    <w:p w14:paraId="61DCE2C8"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Toetust ei anta Kanepi Vallavalitsuse (edaspidi vallavalitsus) hallatavale asutusele või hallatava asutuse huvikollektiivile või mittetulundusühendusele, mis on Kanepi valla poolt asutatud või mille liikmeks on Kanepi vald.</w:t>
      </w:r>
    </w:p>
    <w:p w14:paraId="61DCE2C9" w14:textId="77777777" w:rsidR="00EB23EE" w:rsidRDefault="00000000">
      <w:pPr>
        <w:spacing w:after="12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2. peatükk</w:t>
      </w:r>
    </w:p>
    <w:p w14:paraId="61DCE2CA" w14:textId="77777777" w:rsidR="00EB23EE" w:rsidRDefault="00000000">
      <w:pPr>
        <w:spacing w:after="3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TOETUSTE LIIGID</w:t>
      </w:r>
    </w:p>
    <w:p w14:paraId="61DCE2CB"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5. Projektitoetusele esitatavad nõuded</w:t>
      </w:r>
    </w:p>
    <w:p w14:paraId="61DCE2CC" w14:textId="77777777" w:rsidR="00EB23E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Projektitoetus antakse sihtotstarbeliselt taotluses näidatud projekti elluviimiseks.</w:t>
      </w:r>
    </w:p>
    <w:p w14:paraId="61DCE2CD" w14:textId="77777777" w:rsidR="00EB23E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Toetuse maksimaalne summa taotluse kohta on kuni 3000 eurot.</w:t>
      </w:r>
    </w:p>
    <w:p w14:paraId="61DCE2CE"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Toetuse määramisel eelistatakse projekte:</w:t>
      </w:r>
    </w:p>
    <w:p w14:paraId="61DCE2CF"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kus on olemas kaasfinantseerimine;</w:t>
      </w:r>
    </w:p>
    <w:p w14:paraId="61DCE2D0"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kus projektist saab osa võimalikult palju inimesi;</w:t>
      </w:r>
    </w:p>
    <w:p w14:paraId="61DCE2D1"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mis sisaldavad uudseid ideid ja loomingulisi lahendusi;</w:t>
      </w:r>
    </w:p>
    <w:p w14:paraId="61DCE2D2"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mis on suunatud Kanepi valla küla elanike ühistegevuse või kohaliku elukeskkonna arengule;</w:t>
      </w:r>
    </w:p>
    <w:p w14:paraId="61DCE2D3"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mis on jätkusuutlikud ja valla seisukohast olulised;</w:t>
      </w:r>
    </w:p>
    <w:p w14:paraId="61DCE2D4"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mis aitavad kaasa Kanepi valla positiivse maine kujundamisele;</w:t>
      </w:r>
    </w:p>
    <w:p w14:paraId="61DCE2D5"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7) mis arendavad piirkondlikku ühistegevust;</w:t>
      </w:r>
    </w:p>
    <w:p w14:paraId="61DCE2D6"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8) mis on kooskõlas Kanepi valla arengukava ja valla eelarveliste võimalustega;</w:t>
      </w:r>
    </w:p>
    <w:p w14:paraId="61DCE2D7"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9) külapäevad, kodukandipäevad, talgud ja muud kohalikud kogukonnaüritused;</w:t>
      </w:r>
    </w:p>
    <w:p w14:paraId="61DCE2D8"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10) kohaliku ajaloo, pärandi ja traditsioonide säilitamine;</w:t>
      </w:r>
    </w:p>
    <w:p w14:paraId="61DCE2D9"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11) laste, noorte, perede ja eakate kogukondlikud tegevused;</w:t>
      </w:r>
    </w:p>
    <w:p w14:paraId="61DCE2DA"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12) külade vahelise koostöö arendamine;</w:t>
      </w:r>
    </w:p>
    <w:p w14:paraId="61DCE2DB"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13) uue kogukondliku algatuse käivitamine;</w:t>
      </w:r>
    </w:p>
    <w:p w14:paraId="61DCE2DC"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14) ühistegevuste korraldamine.</w:t>
      </w:r>
    </w:p>
    <w:p w14:paraId="61DCE2DD"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Projektitoetust ei anta:</w:t>
      </w:r>
    </w:p>
    <w:p w14:paraId="61DCE2DE"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ehitus-, remondi- või renoveerimistöödeks;</w:t>
      </w:r>
    </w:p>
    <w:p w14:paraId="61DCE2DF"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enne taotluse esitamist toimunud projekti kulude katmiseks;</w:t>
      </w:r>
    </w:p>
    <w:p w14:paraId="61DCE2E0"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toitlustuskulude katmiseks, välja arvatud traditsioonilise rahvatähtpäevaga seotud kulud;</w:t>
      </w:r>
    </w:p>
    <w:p w14:paraId="61DCE2E1"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transpordikulude katmiseks;</w:t>
      </w:r>
    </w:p>
    <w:p w14:paraId="61DCE2E2"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eraisikutele muusikainstrumentide, tööriistade, tehnika, seadmete jms vara soetamiseks (v.a kunstitarbed konkreetse väljundi tarbeks);</w:t>
      </w:r>
    </w:p>
    <w:p w14:paraId="61DCE2E3"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üksikisiku koolituskulude katmiseks;</w:t>
      </w:r>
    </w:p>
    <w:p w14:paraId="61DCE2E4"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7) liikmemaksudeks, litsentsideks ja osalustasudeks;</w:t>
      </w:r>
    </w:p>
    <w:p w14:paraId="61DCE2E5"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8) üksnes kodanikeühenduste liikmetele suunatud projekti korraldamiseks;</w:t>
      </w:r>
    </w:p>
    <w:p w14:paraId="61DCE2E6"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9) kodanikeühenduste igapäevaseks ülalpidamiseks vajalike tegevuskulude katmiseks;</w:t>
      </w:r>
    </w:p>
    <w:p w14:paraId="61DCE2E7"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10) ühendustele, mille põhitegevus on korrapäraste teatrietenduste, kontsertide, festivalide või muude piletitulul põhinevate sündmuste korraldamine;</w:t>
      </w:r>
    </w:p>
    <w:p w14:paraId="61DCE2E8"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11) ühendusele, mille taotletav tegevus moodustab osa tema tavapärasest tasulisest teenusest või regulaarsest sündmuste programmist;</w:t>
      </w:r>
    </w:p>
    <w:p w14:paraId="61DCE2E9"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12) muudel juhtudel, kui taotluse hindaja ei pea toetuse andmist otstarbekaks või käesoleva korra eesmärkidega kooskõlas olevaks;</w:t>
      </w:r>
    </w:p>
    <w:p w14:paraId="61DCE2EA"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13) üritustele või sündmustele, mis propageerivad alkoholi või muude meelemürkide tarbimist;</w:t>
      </w:r>
    </w:p>
    <w:p w14:paraId="61DCE2EB" w14:textId="77777777" w:rsidR="00EB23EE" w:rsidRDefault="00000000">
      <w:pPr>
        <w:spacing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sarnastele üritustele, mis toimuvad samal ajal.</w:t>
      </w:r>
    </w:p>
    <w:p w14:paraId="61DCE2EC" w14:textId="77777777" w:rsidR="00EB23EE" w:rsidRDefault="00EB23EE">
      <w:pPr>
        <w:spacing w:line="240" w:lineRule="auto"/>
        <w:ind w:left="360"/>
        <w:jc w:val="both"/>
        <w:rPr>
          <w:rFonts w:ascii="Times New Roman" w:eastAsia="Times New Roman" w:hAnsi="Times New Roman" w:cs="Times New Roman"/>
          <w:sz w:val="20"/>
          <w:szCs w:val="20"/>
        </w:rPr>
      </w:pPr>
    </w:p>
    <w:p w14:paraId="61DCE2ED"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6. Tegevustoetuse taotlemisele esitatavad nõuded</w:t>
      </w:r>
    </w:p>
    <w:p w14:paraId="61DCE2EE"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Tegevustoetust võivad taotleda valla küla- ja kogukonnaelu arendamisele suunatud, avalikkusele olulisi teenuseid pakkuvad või tegevusi korraldavad mittetulundusühendused.</w:t>
      </w:r>
    </w:p>
    <w:p w14:paraId="61DCE2EF"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(2) Tegevustoetuse eesmärgiks on toetada mitmekesist ja järjepidevat kogukonnategevust omaalgatuse kaudu, soodustada külaliikumise arendamist, kodanikualgatuse ja ühistegevuse aktiviseerimist. </w:t>
      </w:r>
    </w:p>
    <w:p w14:paraId="61DCE2F0"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Toetuse maksimaalne summa taotleja kohta on kuni 3000 eurot.</w:t>
      </w:r>
    </w:p>
    <w:p w14:paraId="61DCE2F1"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Tegevustoetust on õigustatud taotlema mittetulundusühendus:</w:t>
      </w:r>
    </w:p>
    <w:p w14:paraId="61DCE2F2"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mis on taotlemisele eelnevalt tegutsenud Kanepi valla haldusterritooriumil vähemalt 12 kuud ja mille asukoht on mittetulundusühingute ja sihtasutuste registris Kanepi vallas;</w:t>
      </w:r>
    </w:p>
    <w:p w14:paraId="61DCE2F3"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mille tegevus on suunatud laiemale sihtgrupile ja vastab avalikele huvidele, s.o taotleja eesmärgid ja tegevus on suunatud laiemale sihtrühmale kui ühingu liikmeskond;</w:t>
      </w:r>
    </w:p>
    <w:p w14:paraId="61DCE2F4"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millel on koostatud vähemalt järgmist viit aastat käsitlev tegevuskava, kus on kirjeldatud mittetulundusühenduse tegevused ja eesmärgid ning kirjeldatud, kuidas tegevustoetus aitab viia ellu tegevusi ja saavutada eesmärke ning on kirjeldatud kohalike kaasamisviisid;</w:t>
      </w:r>
    </w:p>
    <w:p w14:paraId="61DCE2F5"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mille tegevus on jätkusuutlik ja suunatud Kanepi valla küla elanike või elukeskkonna arengule ja mis on kooskõlas Kanepi valla arengukava ja valla eelarveliste võimalustega;</w:t>
      </w:r>
    </w:p>
    <w:p w14:paraId="61DCE2F6"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mis on nõuetekohaselt täitnud eelneval aastal Kanepi valla eelarvest saadud toetuse kasutamise tingimusi;</w:t>
      </w:r>
    </w:p>
    <w:p w14:paraId="61DCE2F7"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mis vastab määruses sätestatud muudele nõuetele.</w:t>
      </w:r>
    </w:p>
    <w:p w14:paraId="61DCE2F8"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Tegevustoetust makstakse mittetulundusühendustele nende:</w:t>
      </w:r>
    </w:p>
    <w:p w14:paraId="61DCE2F9"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kodanikeühenduste jätkusuutlikuse tagamiseks, sh raamatupidamisteenus;</w:t>
      </w:r>
    </w:p>
    <w:p w14:paraId="61DCE2FA"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põhitegevuskoha hoonete ja kinnistute ülalpidamiseks ning põhitegevuseks vajaliku inventari kulude katteks;</w:t>
      </w:r>
    </w:p>
    <w:p w14:paraId="61DCE2FB"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heakorrategevusteks;</w:t>
      </w:r>
    </w:p>
    <w:p w14:paraId="61DCE2FC"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kohaliku turvalisuse ja kriisivalmiduse parandamiseks;</w:t>
      </w:r>
    </w:p>
    <w:p w14:paraId="61DCE2FD"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külade ühiskasutuses oleva inventari soetamiseks;</w:t>
      </w:r>
    </w:p>
    <w:p w14:paraId="61DCE2FE"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kogukonnaruumi või muu avalikus kasutuses oleva kohaliku kooskäimiskoha tegevuse toetamiseks.</w:t>
      </w:r>
    </w:p>
    <w:p w14:paraId="61DCE2FF"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Tegevustoetust ei anta:</w:t>
      </w:r>
    </w:p>
    <w:p w14:paraId="61DCE300"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ühendustele, mille tavapärase majandustegevuse moodustab korrapäraste teatrietenduste, kontsertide, festivalide või muude piletitulul põhinevate sündmuste korraldamine;</w:t>
      </w:r>
    </w:p>
    <w:p w14:paraId="61DCE301" w14:textId="77777777" w:rsidR="00EB23EE" w:rsidRDefault="00000000">
      <w:pPr>
        <w:spacing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ühendusele, mille taotletav tegevus moodustab osa tema tavapärasest tasulisest teenusest või regulaarsest sündmuste programmist.</w:t>
      </w:r>
    </w:p>
    <w:p w14:paraId="376D8857" w14:textId="77777777" w:rsidR="002E15EF" w:rsidRDefault="002E15EF">
      <w:pPr>
        <w:spacing w:line="240" w:lineRule="auto"/>
        <w:ind w:left="360"/>
        <w:jc w:val="both"/>
        <w:rPr>
          <w:rFonts w:ascii="Times New Roman" w:eastAsia="Times New Roman" w:hAnsi="Times New Roman" w:cs="Times New Roman"/>
          <w:sz w:val="20"/>
          <w:szCs w:val="20"/>
        </w:rPr>
      </w:pPr>
    </w:p>
    <w:p w14:paraId="61DCE303"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7. Kaasfinantseeringu toetuse taotlemisele esitatavad nõuded</w:t>
      </w:r>
    </w:p>
    <w:p w14:paraId="61DCE304"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Toetust võib taotleda Kanepi vallas asuva, avalikkusele suunatud hoone või avalikkusele suunatud rajatise (edaspidi ühiselt objekt) projekteerimiseks, ehitamiseks, renoveerimiseks või inventari soetamiseks.</w:t>
      </w:r>
    </w:p>
    <w:p w14:paraId="61DCE305"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Kaasfinantseeringu toetust võib anda projektile, mis on saanud või mille kohta on esitatud taotlus rahastuse saamiseks riiklikust, Euroopa Liidu või muust toetusprogrammist.</w:t>
      </w:r>
    </w:p>
    <w:p w14:paraId="61DCE306"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Kaasfinantseeringu toetuse saamise eelduseks on, et projekt:</w:t>
      </w:r>
    </w:p>
    <w:p w14:paraId="61DCE307"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arendab Kanepi valla küla või kohaliku kogukonna elukeskkonda;</w:t>
      </w:r>
    </w:p>
    <w:p w14:paraId="61DCE308"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on avalikes huvides ja kasutuses;</w:t>
      </w:r>
    </w:p>
    <w:p w14:paraId="61DCE309"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loob või parandab avalikku või kogukondlikku kasutusse jäävat objekti või teenust;</w:t>
      </w:r>
    </w:p>
    <w:p w14:paraId="61DCE30A"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vastab Kanepi valla arengukava eesmärkidele.</w:t>
      </w:r>
    </w:p>
    <w:p w14:paraId="61DCE30B" w14:textId="273AEF46" w:rsidR="00EB23E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Toetust võib taotleda välise kaasfinantseeringu korral omafinantseeringu osas</w:t>
      </w:r>
      <w:r w:rsidR="007774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ku</w:t>
      </w:r>
      <w:r w:rsidR="007774DD">
        <w:rPr>
          <w:rFonts w:ascii="Times New Roman" w:eastAsia="Times New Roman" w:hAnsi="Times New Roman" w:cs="Times New Roman"/>
          <w:sz w:val="24"/>
          <w:szCs w:val="24"/>
        </w:rPr>
        <w:t>ni</w:t>
      </w:r>
      <w:r>
        <w:rPr>
          <w:rFonts w:ascii="Times New Roman" w:eastAsia="Times New Roman" w:hAnsi="Times New Roman" w:cs="Times New Roman"/>
          <w:sz w:val="24"/>
          <w:szCs w:val="24"/>
        </w:rPr>
        <w:t xml:space="preserve"> 20% kavandatava projekti kogumaksumusest</w:t>
      </w:r>
      <w:r w:rsidR="00C205FF">
        <w:rPr>
          <w:rFonts w:ascii="Times New Roman" w:eastAsia="Times New Roman" w:hAnsi="Times New Roman" w:cs="Times New Roman"/>
          <w:sz w:val="24"/>
          <w:szCs w:val="24"/>
        </w:rPr>
        <w:t xml:space="preserve">, kuid mitte rohkem kui </w:t>
      </w:r>
      <w:r w:rsidR="00827327">
        <w:rPr>
          <w:rFonts w:ascii="Times New Roman" w:eastAsia="Times New Roman" w:hAnsi="Times New Roman" w:cs="Times New Roman"/>
          <w:sz w:val="24"/>
          <w:szCs w:val="24"/>
        </w:rPr>
        <w:t xml:space="preserve">3000 </w:t>
      </w:r>
      <w:r w:rsidR="00241EDC">
        <w:rPr>
          <w:rFonts w:ascii="Times New Roman" w:eastAsia="Times New Roman" w:hAnsi="Times New Roman" w:cs="Times New Roman"/>
          <w:sz w:val="24"/>
          <w:szCs w:val="24"/>
        </w:rPr>
        <w:t>euro</w:t>
      </w:r>
      <w:r w:rsidR="00C205FF">
        <w:rPr>
          <w:rFonts w:ascii="Times New Roman" w:eastAsia="Times New Roman" w:hAnsi="Times New Roman" w:cs="Times New Roman"/>
          <w:sz w:val="24"/>
          <w:szCs w:val="24"/>
        </w:rPr>
        <w:t>t</w:t>
      </w:r>
      <w:r w:rsidR="00241ED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61DCE30C"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Toetuse saamiseks peab objekt vastama järgmistele tingimustele:</w:t>
      </w:r>
    </w:p>
    <w:p w14:paraId="61DCE30D"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asuma üldkasutatava maa sihtotstarbega kinnistul või muu avaliku kasutamise sihtotstarbega kinnistul (sh teemaa, avalikult kasutatav veekogu) või olema valla omandis ja antud toetuse taotlejale avalikku kasutusse. Kui objekt ei ole  valla omandis, on õigus toetust taotleda, kui objekti omanikul ja kasutajal on vallaga sõlmitud objekti avaliku kasutamise leping tähtajaga vähemalt viis aastat pärast toetuse kasutamise tähtaja lõppu;</w:t>
      </w:r>
    </w:p>
    <w:p w14:paraId="61DCE30E"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objekti ja inventari rajamise või olemasolu vastu peab olema põhjendatud avalik huvi, mida iseloomustab muu hulgas sarnaste objektide puudumine lähipiirkonnas ning piirkondlik tähtsus;</w:t>
      </w:r>
    </w:p>
    <w:p w14:paraId="61DCE30F"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Toetust on õigus taotleda mittetulundusühendusel, mis vastab järgmistele tingimustele:</w:t>
      </w:r>
    </w:p>
    <w:p w14:paraId="61DCE310"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objekti asukoht on Kanepi vald;</w:t>
      </w:r>
    </w:p>
    <w:p w14:paraId="61DCE311"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taotleja põhikirjast tulenev tegevuse eesmärk on aleviku, küla või muu tervikliku piirkonna elukeskkonna arendamine ning avalikkuse kaasamisele ja avaliku huvi realiseerimisele suunatud tegevus;</w:t>
      </w:r>
    </w:p>
    <w:p w14:paraId="61DCE312"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taotleja on taotluse esitamise ajaks tegutsenud vähemalt kuus kuud.</w:t>
      </w:r>
    </w:p>
    <w:p w14:paraId="61DCE313"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(7) Kaasfinantseeringu taotlusi võib esitada eelarveaasta jooksul. Toetust antakse vabade eelarvevahendite olemasolul.</w:t>
      </w:r>
    </w:p>
    <w:p w14:paraId="61DCE314" w14:textId="77777777" w:rsidR="00EB23EE" w:rsidRDefault="00000000">
      <w:pPr>
        <w:spacing w:after="12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3. peatükk</w:t>
      </w:r>
    </w:p>
    <w:p w14:paraId="61DCE315" w14:textId="77777777" w:rsidR="00EB23EE" w:rsidRDefault="00000000">
      <w:pPr>
        <w:spacing w:after="3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TAOTLUSE ESITAMINE, LÄBIVAATAMINE JA HINDAMINE</w:t>
      </w:r>
    </w:p>
    <w:p w14:paraId="61DCE316"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8. Toetuse taotlemine</w:t>
      </w:r>
    </w:p>
    <w:p w14:paraId="61DCE317"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Taotlus esitatakse vallavalitsusele üldjuhul elektroonilises keskkonnas. Kui taotlust ei ole võimalik esitada elektroonilises keskkonnas, on taotlus lubatud esitada etteantud vormil digitaalselt allkirjastatult või paberkandjal.</w:t>
      </w:r>
    </w:p>
    <w:p w14:paraId="61DCE318"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Taotlusele lisatakse:</w:t>
      </w:r>
    </w:p>
    <w:p w14:paraId="61DCE319"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tegevustoetuse taotlemisel järgmise aasta eelarve kavand ja järgneva viie aasta tegevuskava, mis sisaldab kohalike elanike kaasamisviise;</w:t>
      </w:r>
    </w:p>
    <w:p w14:paraId="61DCE31A"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2) projektitoetuse, tegevustoetuse ja kaasfinantseerimise toetuse puhul konkreetse(te) tegevus(t)e eelarve ja/või hinnapakkumised;</w:t>
      </w:r>
    </w:p>
    <w:p w14:paraId="61DCE31B"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planeeritavate tegevuste täpne kirjeldus, sihtgrupp ja eeldatav osavõtjate arv ning tegevuste vastavus käesoleva korraga püstitatud eesmärkidele;</w:t>
      </w:r>
    </w:p>
    <w:p w14:paraId="61DCE31C"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dokumendid, mis tõendavad, et taotleja vastab toetuse saamiseks esitatud nõuetele;</w:t>
      </w:r>
    </w:p>
    <w:p w14:paraId="61DCE31D"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mittetulundusühendusel tuleb esmaesitamisel lisada koopia ühingu põhikirjast. Järgmiste toetuste taotlemisel tuleb esitada allkirjastatud kinnitus põhikirja kehtivuse kohta;</w:t>
      </w:r>
    </w:p>
    <w:p w14:paraId="61DCE31E"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andmed selle kohta, kas ja millistest allikatest taotleja samale tegevusele täiendavat rahastamist taotleb.</w:t>
      </w:r>
    </w:p>
    <w:p w14:paraId="61DCE31F"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Vallavalitsusel on vajaduse korral õigus kehtestada taotluste esitamist abistavaid näidisvorme.</w:t>
      </w:r>
    </w:p>
    <w:p w14:paraId="61DCE320" w14:textId="77777777" w:rsidR="00EB23E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Korralises taotlusvoorus esitatakse taotlus toetuse saamiseks tegevusteks, mis toimuvad järgneval eelarveaastal. Taotluses esitatud tegevuskava ja eelarve peavad käsitlema järgnevat eelarveaastat ning olema omavahel kooskõlas.</w:t>
      </w:r>
    </w:p>
    <w:p w14:paraId="5459F207" w14:textId="77777777" w:rsidR="0017377A" w:rsidRDefault="0017377A">
      <w:pPr>
        <w:spacing w:line="240" w:lineRule="auto"/>
        <w:jc w:val="both"/>
        <w:rPr>
          <w:rFonts w:ascii="Times New Roman" w:eastAsia="Times New Roman" w:hAnsi="Times New Roman" w:cs="Times New Roman"/>
          <w:sz w:val="20"/>
          <w:szCs w:val="20"/>
        </w:rPr>
      </w:pPr>
    </w:p>
    <w:p w14:paraId="61DCE321"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9. Toetuse taotlemise tähtajad</w:t>
      </w:r>
    </w:p>
    <w:p w14:paraId="61DCE322" w14:textId="77777777" w:rsidR="00EB23EE" w:rsidRDefault="00000000">
      <w:pPr>
        <w:spacing w:line="240" w:lineRule="auto"/>
        <w:jc w:val="both"/>
        <w:rPr>
          <w:rFonts w:ascii="Times New Roman" w:eastAsia="Times New Roman" w:hAnsi="Times New Roman" w:cs="Times New Roman"/>
          <w:strike/>
          <w:sz w:val="20"/>
          <w:szCs w:val="20"/>
        </w:rPr>
      </w:pPr>
      <w:r>
        <w:rPr>
          <w:rFonts w:ascii="Times New Roman" w:eastAsia="Times New Roman" w:hAnsi="Times New Roman" w:cs="Times New Roman"/>
          <w:sz w:val="24"/>
          <w:szCs w:val="24"/>
        </w:rPr>
        <w:t xml:space="preserve">(1) Projektitoetuse ja tegevustoetuse taotluse esitamise periood on 1.oktoober kuni 1. novembrini. </w:t>
      </w:r>
    </w:p>
    <w:p w14:paraId="61DCE323" w14:textId="77777777" w:rsidR="00EB23E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Kaasfinantseeringu toetuse taotlusi saab esitada kogu eelarveaasta jooksul.</w:t>
      </w:r>
    </w:p>
    <w:p w14:paraId="328ECF01" w14:textId="77777777" w:rsidR="0017377A" w:rsidRDefault="0017377A">
      <w:pPr>
        <w:spacing w:line="240" w:lineRule="auto"/>
        <w:jc w:val="both"/>
        <w:rPr>
          <w:rFonts w:ascii="Times New Roman" w:eastAsia="Times New Roman" w:hAnsi="Times New Roman" w:cs="Times New Roman"/>
          <w:sz w:val="20"/>
          <w:szCs w:val="20"/>
        </w:rPr>
      </w:pPr>
    </w:p>
    <w:p w14:paraId="61DCE324"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10. Taotluste läbivaatamine</w:t>
      </w:r>
    </w:p>
    <w:p w14:paraId="61DCE325"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Vallavalitsuse määratud ametnik kontrollib tähtaegselt esitatud taotluse ja taotleja nõuetele vastavust ning esitatud andmete õigsust 15 tööpäeva jooksul taotluse registreerimisest.</w:t>
      </w:r>
    </w:p>
    <w:p w14:paraId="61DCE326"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Kui taotleja ja taotluse nõuetekohasuse kontrollimise käigus selgub, et taotleja või taotlus ei vasta nõuetele, antakse taotlejale mõistlik aeg puuduste kõrvaldamiseks, üldjuhul kuni 10 tööpäeva.</w:t>
      </w:r>
    </w:p>
    <w:p w14:paraId="61DCE327"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Taotlus tunnistatakse nõuetele vastavaks, kui taotleja vastab kehtestatud nõuetele ja taotlus koos lisadega on nõuete- ja vormikohane.</w:t>
      </w:r>
    </w:p>
    <w:p w14:paraId="61DCE328"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Taotlus jäetakse läbi vaatamata, kui:</w:t>
      </w:r>
    </w:p>
    <w:p w14:paraId="61DCE329"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projektitoetuse ja tegevustoetuse taotlused esitati pärast tähtpäeva;</w:t>
      </w:r>
    </w:p>
    <w:p w14:paraId="61DCE32A"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taotleja ei vasta määruse nõuetele;</w:t>
      </w:r>
    </w:p>
    <w:p w14:paraId="61DCE32B"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taotlus sisaldab teadlikult valeandmeid;</w:t>
      </w:r>
    </w:p>
    <w:p w14:paraId="61DCE32C"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taotlejal on esitamata varasema toetuse aruanne või tagastamata nõutud toetussumma;</w:t>
      </w:r>
    </w:p>
    <w:p w14:paraId="61DCE32D"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taotleja on maksuvõlglane;</w:t>
      </w:r>
    </w:p>
    <w:p w14:paraId="61DCE32E"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taotletav tegevus või kulu ei ole määruse kohaselt toetatav.</w:t>
      </w:r>
    </w:p>
    <w:p w14:paraId="61DCE32F"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Taotlus tunnistatakse nõuetele mittevastavaks, kui esineb vähemalt üks järgnevatest asjaoludest:</w:t>
      </w:r>
    </w:p>
    <w:p w14:paraId="61DCE330"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taotlus on ebakorrektselt vormistatud ja/või puudulike andmetega;</w:t>
      </w:r>
    </w:p>
    <w:p w14:paraId="61DCE331"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taotleja on jätnud nimetatud puudused vallavalitsuse poolt antud tähtajaks kõrvaldamata.</w:t>
      </w:r>
    </w:p>
    <w:p w14:paraId="61DCE332" w14:textId="77777777" w:rsidR="00EB23E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Nõuetele mittevastavaks tunnistatud taotluse kohta antakse 15 tööpäeva jooksul teada kirjalikult.</w:t>
      </w:r>
    </w:p>
    <w:p w14:paraId="6C00E33F" w14:textId="77777777" w:rsidR="0017377A" w:rsidRDefault="0017377A">
      <w:pPr>
        <w:spacing w:line="240" w:lineRule="auto"/>
        <w:jc w:val="both"/>
        <w:rPr>
          <w:rFonts w:ascii="Times New Roman" w:eastAsia="Times New Roman" w:hAnsi="Times New Roman" w:cs="Times New Roman"/>
          <w:sz w:val="20"/>
          <w:szCs w:val="20"/>
        </w:rPr>
      </w:pPr>
    </w:p>
    <w:p w14:paraId="61DCE333"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lastRenderedPageBreak/>
        <w:t>§ 11. Taotluste hindamine</w:t>
      </w:r>
    </w:p>
    <w:p w14:paraId="61DCE334"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Nõuetele vastavaid korralisi taotlusi hindab vallavalitsuse korraldusega kinnitatud vähemalt viieliikmeline hindamiskomisjon. Hindamiskomisjoni koosseisu kuuluvad vallavolikogu kultuuri- ja spordikomisjoni esindajad ning vallavalitsuse kultuuri-, spordi- ja arendusvaldkonna teenistujad.</w:t>
      </w:r>
    </w:p>
    <w:p w14:paraId="61DCE335"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Taotluste hindamisel lähtutakse järgmistest kriteeriumidest:</w:t>
      </w:r>
    </w:p>
    <w:p w14:paraId="61DCE336"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vastavus toetuse eesmärgile;</w:t>
      </w:r>
    </w:p>
    <w:p w14:paraId="61DCE337"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tegevuse mõju konkreetse küla või kogukonna arengule;</w:t>
      </w:r>
    </w:p>
    <w:p w14:paraId="61DCE338"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kohalike elanike kaasatus ja vabatahtliku töö osakaal;</w:t>
      </w:r>
    </w:p>
    <w:p w14:paraId="61DCE339"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tegevuse avalikkus ja sihtrühma ulatus;</w:t>
      </w:r>
    </w:p>
    <w:p w14:paraId="61DCE33A"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eelarve põhjendatus ja kulude säästlikkus;</w:t>
      </w:r>
    </w:p>
    <w:p w14:paraId="61DCE33B"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taotleja oma- ja kaasfinantseering;</w:t>
      </w:r>
    </w:p>
    <w:p w14:paraId="61DCE33C"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7) teiste külade, ühenduste või asutuste kaasamine;</w:t>
      </w:r>
    </w:p>
    <w:p w14:paraId="61DCE33D" w14:textId="77777777" w:rsidR="00EB23EE" w:rsidRDefault="00000000">
      <w:pPr>
        <w:spacing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taotleja varasem toetuste nõuetekohane kasutamine.</w:t>
      </w:r>
    </w:p>
    <w:p w14:paraId="61DCE33E" w14:textId="77777777" w:rsidR="00EB23EE" w:rsidRDefault="00000000">
      <w:pPr>
        <w:spacing w:line="240" w:lineRule="auto"/>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(3) Hindamiskriteeriumite vastavuse kohta saab anda hindepunkte nullist kuni neljani (0- ei vasta tingimustele, 1- vähesel määral, 2- keskpärane, 3- hea, 4- väga hea). Hindepunktide vastavuse regulatsioon kehtestatakse vallavalitsuse määrusega.</w:t>
      </w:r>
    </w:p>
    <w:p w14:paraId="61DCE33F"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Võrdse või lähedase hindamistulemuse korral eelistatakse taotlejat:</w:t>
      </w:r>
    </w:p>
    <w:p w14:paraId="61DCE340"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kelle tegevus põhineb suuremas ulatuses vabatahtlikul tööl;</w:t>
      </w:r>
    </w:p>
    <w:p w14:paraId="61DCE341"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kelle viimase majandusaasta tulud ja vabad rahalised vahendid on väiksemad;</w:t>
      </w:r>
    </w:p>
    <w:p w14:paraId="61DCE342"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kellel puudub püsiv müügi- või piletitulu;</w:t>
      </w:r>
    </w:p>
    <w:p w14:paraId="61DCE343"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kes ei ole samaks tegevuseks saanud toetust muudest avalikest vahenditest;</w:t>
      </w:r>
    </w:p>
    <w:p w14:paraId="61DCE344"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kes esindab piirkonda, kus on vähem muid avalikke tegevusi ja teenuseid;</w:t>
      </w:r>
    </w:p>
    <w:p w14:paraId="61DCE345"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kes kaasab tegevusse mitu küla või kogukonnarühma.</w:t>
      </w:r>
    </w:p>
    <w:p w14:paraId="61DCE346"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Hindamiskomisjon võib taotluste hindamise käigus küsida taotlejalt täiendavaid selgitusi ja tutvuda tegevuste läbiviimise kohaga.</w:t>
      </w:r>
    </w:p>
    <w:p w14:paraId="61DCE347"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Hindamiskomisjon võib teha ettepaneku:</w:t>
      </w:r>
    </w:p>
    <w:p w14:paraId="61DCE348"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rahuldada taotlus täies ulatuses;</w:t>
      </w:r>
    </w:p>
    <w:p w14:paraId="61DCE349"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rahuldada taotlus osaliselt;</w:t>
      </w:r>
    </w:p>
    <w:p w14:paraId="61DCE34A"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seada toetuse kasutamisele lisatingimusi;</w:t>
      </w:r>
    </w:p>
    <w:p w14:paraId="61DCE34B"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jätta taotlus rahuldamata.</w:t>
      </w:r>
    </w:p>
    <w:p w14:paraId="61DCE34C"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(7) Hindamiskomisjon esitab põhjendatud rahastamisettepaneku koos pingereaga vallavalitsusele otsuse tegemiseks.</w:t>
      </w:r>
    </w:p>
    <w:p w14:paraId="61DCE34D"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(8) Eelarveaasta jooksul esitatud kaasfinantseeringu taotluste kohta annab vallavalitsus korralduse, ilma hindamiskomisjoni kokku kutsumata, kuu aja jooksul taotluse laekumisest arvates.</w:t>
      </w:r>
    </w:p>
    <w:p w14:paraId="61DCE34E"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(9) Taotluste läbivaatamises, ettepanekute esitamises või hindamises osalev isik taandab ennast taotluse arutelust ja otsustamisest, kui esineb huvide konflikt korruptsioonivastase seaduse tähenduses. Hindamises ei tohi osaleda isik, kes on taotlejaga seotud (sh on taotleja liige, juhatuse liige või muul viisil taotlejaga seotud) või kes on samas taotlusvoorus ise taotluse esitanud.</w:t>
      </w:r>
    </w:p>
    <w:p w14:paraId="61DCE34F"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(10) Toetuse taotlemine ja määruse nõuetele vastamine ei anna taotlejale õigust toetuse saamiseks. Toetuse eraldamine sõltub Kanepi valla eelarvelistest võimalustest, taotluste sisulisest hindamisest ja taotluste omavahelisest võrdlusest.</w:t>
      </w:r>
    </w:p>
    <w:p w14:paraId="61DCE350"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12. Toetuse määramine</w:t>
      </w:r>
    </w:p>
    <w:p w14:paraId="61DCE351"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Vallavalitsus annab korralduse toetuse määramise või mittemääramise kohta hindamiskomisjoni ettepaneku alusel. Juhul kui vallavalitsus ei nõustu hindamiskomisjoni ettepanekuga, tuleb seda põhjendada ja lisada korraldusse.</w:t>
      </w:r>
    </w:p>
    <w:p w14:paraId="61DCE352"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Toetuse määramise korraldus antakse pärast seda, kui Kanepi Vallavolikogu on kinnitanud toetuse kasutamise aastaks Kanepi valla eelarve ning eelarves on toetuse andmiseks vajalikud vahendid ette nähtud.</w:t>
      </w:r>
    </w:p>
    <w:p w14:paraId="61DCE353"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Vallavalitsusel on õigus:</w:t>
      </w:r>
    </w:p>
    <w:p w14:paraId="61DCE354"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rahuldada taotlus taotletud summast väiksemas ulatuses;</w:t>
      </w:r>
    </w:p>
    <w:p w14:paraId="61DCE355"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toetada ainult osa taotluses nimetatud tegevustest või kuludest;</w:t>
      </w:r>
    </w:p>
    <w:p w14:paraId="61DCE356"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seada toetuse kasutamisele tingimusi;</w:t>
      </w:r>
    </w:p>
    <w:p w14:paraId="61DCE357"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jätta taotlus rahuldamata, kui valla eelarvevahendid ei võimalda kõiki nõuetele vastavaid taotlusi rahastada;</w:t>
      </w:r>
    </w:p>
    <w:p w14:paraId="61DCE358"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eelistada taotlusi, mis vastavad paremini määruse eesmärgile ja hindamiskriteeriumidele.</w:t>
      </w:r>
    </w:p>
    <w:p w14:paraId="61DCE359"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Kui nõuetele vastavate taotluste rahastamiseks ei jätku eelarvevahendeid, lähtutakse hindamistulemustest, toetuse eesmärgist ja taotlejate tegelikust rahastamisvajadusest.</w:t>
      </w:r>
    </w:p>
    <w:p w14:paraId="61DCE35A"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Taotluse võib jätta täielikult või osaliselt rahuldamata eelkõige juhul, kui:</w:t>
      </w:r>
    </w:p>
    <w:p w14:paraId="61DCE35B"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taotlus saab hindamisel madalama tulemuse kui teised taotlused;</w:t>
      </w:r>
    </w:p>
    <w:p w14:paraId="61DCE35C"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tegevuse mõju külale või kohalikule kogukonnale on vähene;</w:t>
      </w:r>
    </w:p>
    <w:p w14:paraId="61DCE35D"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tegevus on suures osas kaetud piletitulu, müügitulu või muu rahastusega;</w:t>
      </w:r>
    </w:p>
    <w:p w14:paraId="61DCE35E"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taotletud kulud ei ole vajalikud, säästlikud või põhjendatud;</w:t>
      </w:r>
    </w:p>
    <w:p w14:paraId="61DCE35F"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sama või sarnast tegevust rahastatakse juba valla eelarvest muul viisil;</w:t>
      </w:r>
    </w:p>
    <w:p w14:paraId="61DCE360"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taotlus ei vasta piisavalt määruse põhieesmärgile toetada väiksemate külade ja kohalike kogukondade omaalgatust.</w:t>
      </w:r>
    </w:p>
    <w:p w14:paraId="61DCE361"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Toetuse määramise ja määramata jätmise otsus peab olema põhjendatud. Põhjenduses tuuakse välja vähemalt otsuse peamised alused.</w:t>
      </w:r>
    </w:p>
    <w:p w14:paraId="61DCE362"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(7) Taotlejale tehakse otsus teatavaks elektrooniliselt.</w:t>
      </w:r>
    </w:p>
    <w:p w14:paraId="61DCE363" w14:textId="77777777" w:rsidR="00EB23E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Toetuse saajaga sõlmib vallavalitsus lepingu.</w:t>
      </w:r>
    </w:p>
    <w:p w14:paraId="144A19F1" w14:textId="77777777" w:rsidR="0017377A" w:rsidRDefault="0017377A">
      <w:pPr>
        <w:spacing w:line="240" w:lineRule="auto"/>
        <w:jc w:val="both"/>
        <w:rPr>
          <w:rFonts w:ascii="Times New Roman" w:eastAsia="Times New Roman" w:hAnsi="Times New Roman" w:cs="Times New Roman"/>
          <w:sz w:val="20"/>
          <w:szCs w:val="20"/>
        </w:rPr>
      </w:pPr>
    </w:p>
    <w:p w14:paraId="61DCE364"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13. Toetuse kasutamine</w:t>
      </w:r>
    </w:p>
    <w:p w14:paraId="61DCE365"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Toetuse saaja on kohustatud:</w:t>
      </w:r>
    </w:p>
    <w:p w14:paraId="61DCE366"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kasutama toetust vastavuses esitatud taotluse, käesoleva korra, taotluse rahuldamise otsuse ja toetuse kasutamise lepingu tingimustele;</w:t>
      </w:r>
    </w:p>
    <w:p w14:paraId="61DCE367"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teavitama avalikkust, et projekt viiakse ellu Kanepi valla toetusel (nt kasutama ürituse reklaamis, trükistel, infomaterjalidel jms Kanepi valla sümboolikat, ürituste korraldamisel tooma selgelt esile ürituse seotuse valla toetusega vm);</w:t>
      </w:r>
    </w:p>
    <w:p w14:paraId="61DCE368"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mitte planeerima üritust samale ajale Kanepi valla poolt korraldatava samalaadse ja/või samas piirkonnas toimuva üritusega;</w:t>
      </w:r>
    </w:p>
    <w:p w14:paraId="61DCE369"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4) teavitama vallavalitsust koheselt tegevusega seotud igast muudatusest, mille tõttu toetuse taotluses esitatud andmed ei ole enam täielikud või õiged;</w:t>
      </w:r>
    </w:p>
    <w:p w14:paraId="61DCE36A"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võimaldama teostada toetuse sihipärase ja tähtaegse kasutamise üle järelevalvet;</w:t>
      </w:r>
    </w:p>
    <w:p w14:paraId="61DCE36B"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esitama vallavalitsusele selleks ettenähtud vormis, viisil ja tähtaja jooksul nõutud informatsiooni ja aruanded;</w:t>
      </w:r>
    </w:p>
    <w:p w14:paraId="61DCE36C"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7) andma vallavalitsuse või tema volitatud isiku käsutusse kõik projektiga seotud täiendavad andmed ja dokumendid 5 tööpäeva jooksul arvates vastava nõude esitamisest;</w:t>
      </w:r>
    </w:p>
    <w:p w14:paraId="61DCE36D"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8) tagastama toetuse proportsionaalse osa, kui projekt teostatakse kavandatust väiksemate kuludega;</w:t>
      </w:r>
    </w:p>
    <w:p w14:paraId="61DCE36E"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9) toetatud tegevuse või ürituse ärajäämisel tagastama toetuseks eraldatud summa 14 päeva jooksul arvates ärajäämisest teadasaamisest.</w:t>
      </w:r>
    </w:p>
    <w:p w14:paraId="61DCE36F" w14:textId="77777777" w:rsidR="00EB23EE" w:rsidRDefault="00000000">
      <w:pPr>
        <w:spacing w:after="12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4. peatükk</w:t>
      </w:r>
    </w:p>
    <w:p w14:paraId="61DCE370" w14:textId="77777777" w:rsidR="00EB23EE" w:rsidRDefault="00000000">
      <w:pPr>
        <w:spacing w:after="3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ARUANDLUS, KONTROLL JA JÄRELEVALVE</w:t>
      </w:r>
    </w:p>
    <w:p w14:paraId="61DCE371"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14. Aruandlus, kontroll ja järelevalve</w:t>
      </w:r>
    </w:p>
    <w:p w14:paraId="61DCE372"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Toetuse saaja esitab vallavalitsusele 30 tööpäeva jooksul pärast toetatud tegevuse toimumist või projekti või tegevusaasta lõppemist vormikohase aruande eraldatud raha kasutamise kohta, näidates ära kogu projekti eelarve ja raha kasutamise ning esitades kuludokumendid või nende koopiad toetussumma ulatuses.</w:t>
      </w:r>
    </w:p>
    <w:p w14:paraId="61DCE373"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Järelevalvet eraldatud toetuse sihtotstarbelise kasutamise üle teostab vallavalitsus või tema volitatud isik.</w:t>
      </w:r>
    </w:p>
    <w:p w14:paraId="61DCE374"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Vallavalitsusel või tema volitatud isikul on õigus:</w:t>
      </w:r>
    </w:p>
    <w:p w14:paraId="61DCE375"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teostada järelevalvet toetuse kasutamise osas;</w:t>
      </w:r>
    </w:p>
    <w:p w14:paraId="61DCE376"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teostada kohapealset kontrolli toetuse ning oma- ja kaasfinantseeringu kasutamist kajastavate kulu- ja maksedokumentide üle;</w:t>
      </w:r>
    </w:p>
    <w:p w14:paraId="61DCE377"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nõuda taotluses sisaldunud projekti tegevuste ja kulude kohta mistahes täiendavate andmete ja dokumentide esitamist.</w:t>
      </w:r>
    </w:p>
    <w:p w14:paraId="61DCE378"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Vallavalitsusel on õigus leping lõpetada ja/või osaliselt või tervikuna nõuda toetus tagasi, kui:</w:t>
      </w:r>
    </w:p>
    <w:p w14:paraId="61DCE379"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1) ilmneb asjaolu, mille esinemise korral ei oleks taotlust rahuldatud;</w:t>
      </w:r>
    </w:p>
    <w:p w14:paraId="61DCE37A"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2) toetust on kasutatud mittesihipäraselt;</w:t>
      </w:r>
    </w:p>
    <w:p w14:paraId="61DCE37B"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3) toetuse saaja muudab projekti tegevuskava või eelarvet ulatuses, mis muudab oluliselt projekti sisu;</w:t>
      </w:r>
    </w:p>
    <w:p w14:paraId="61DCE37C"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4) toetuse saaja on esitanud valeandmeid või andmeid varjanud;</w:t>
      </w:r>
    </w:p>
    <w:p w14:paraId="61DCE37D"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5) toetuse saaja ei ole kinni pidanud toetuse kasutamise lepingu tingimustest;</w:t>
      </w:r>
    </w:p>
    <w:p w14:paraId="61DCE37E"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6) toetuse saaja oma- või kaasfinantseering väheneb alla projekti eelarves ja toetuse kasutamise lepingus toodud määra või kui projekti maht tervikuna elluviimise käigus väheneb;</w:t>
      </w:r>
    </w:p>
    <w:p w14:paraId="61DCE37F"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7) toetuse saaja ei esita tähtajaks aruannet;</w:t>
      </w:r>
    </w:p>
    <w:p w14:paraId="61DCE380" w14:textId="77777777" w:rsidR="00EB23EE" w:rsidRDefault="00000000">
      <w:pPr>
        <w:spacing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8) toetuse saaja on rikkunud muudes õigusaktides sätestatud tingimusi.</w:t>
      </w:r>
    </w:p>
    <w:p w14:paraId="61DCE381" w14:textId="77777777" w:rsidR="00EB23EE" w:rsidRDefault="00000000">
      <w:pPr>
        <w:spacing w:after="12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5. peatükk</w:t>
      </w:r>
    </w:p>
    <w:p w14:paraId="61DCE382" w14:textId="77777777" w:rsidR="00EB23EE" w:rsidRDefault="00000000">
      <w:pPr>
        <w:spacing w:after="30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RAKENDUSSÄTTED</w:t>
      </w:r>
    </w:p>
    <w:p w14:paraId="61DCE383"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lastRenderedPageBreak/>
        <w:t>§ 15. Määruse kehtetuks tunnistamine</w:t>
      </w:r>
    </w:p>
    <w:p w14:paraId="61DCE384"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Tunnistada kehtetuks Kanepi Vallavolikogu 21.09.2023 määrus nr 14 "Kanepi valla eelarvest mittetulunduslikuks tegevuseks toetuse andmise kord".</w:t>
      </w:r>
    </w:p>
    <w:p w14:paraId="61DCE385"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4"/>
          <w:szCs w:val="24"/>
        </w:rPr>
        <w:t>§ 16. Määruse jõustumine</w:t>
      </w:r>
    </w:p>
    <w:p w14:paraId="61DCE386" w14:textId="77777777" w:rsidR="00EB23EE" w:rsidRDefault="00000000">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Määrus jõustub kolmandal päeval pärast Riigi Teatajas avaldamist.</w:t>
      </w:r>
    </w:p>
    <w:p w14:paraId="61DCE387" w14:textId="77777777" w:rsidR="00EB23EE" w:rsidRDefault="00EB23EE">
      <w:pPr>
        <w:spacing w:after="0"/>
        <w:jc w:val="both"/>
        <w:rPr>
          <w:rFonts w:ascii="Times New Roman" w:eastAsia="Times New Roman" w:hAnsi="Times New Roman" w:cs="Times New Roman"/>
          <w:color w:val="EE0000"/>
          <w:sz w:val="24"/>
          <w:szCs w:val="24"/>
        </w:rPr>
      </w:pPr>
    </w:p>
    <w:p w14:paraId="61DCE388" w14:textId="77777777" w:rsidR="00EB23EE" w:rsidRDefault="00EB23EE">
      <w:pPr>
        <w:spacing w:after="0"/>
        <w:jc w:val="both"/>
        <w:rPr>
          <w:rFonts w:ascii="Times New Roman" w:eastAsia="Times New Roman" w:hAnsi="Times New Roman" w:cs="Times New Roman"/>
          <w:sz w:val="24"/>
          <w:szCs w:val="24"/>
        </w:rPr>
      </w:pPr>
    </w:p>
    <w:p w14:paraId="61DCE389" w14:textId="77777777" w:rsidR="00EB23E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(allkirjastatud digitaalselt) </w:t>
      </w:r>
    </w:p>
    <w:p w14:paraId="61DCE38A" w14:textId="77777777" w:rsidR="00EB23EE" w:rsidRDefault="00EB23EE">
      <w:pPr>
        <w:spacing w:after="0"/>
        <w:rPr>
          <w:rFonts w:ascii="Times New Roman" w:eastAsia="Times New Roman" w:hAnsi="Times New Roman" w:cs="Times New Roman"/>
          <w:sz w:val="24"/>
          <w:szCs w:val="24"/>
        </w:rPr>
      </w:pPr>
    </w:p>
    <w:p w14:paraId="61DCE38B" w14:textId="77777777" w:rsidR="00EB23E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Marek Kruusla</w:t>
      </w:r>
    </w:p>
    <w:p w14:paraId="61DCE38C" w14:textId="77777777" w:rsidR="00EB23E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volikogu esimees</w:t>
      </w:r>
    </w:p>
    <w:p w14:paraId="61DCE38D" w14:textId="0A934A2B" w:rsidR="00B80C93" w:rsidRDefault="00B80C9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F911974" w14:textId="77777777" w:rsidR="00EB23EE" w:rsidRDefault="00EB23EE">
      <w:pPr>
        <w:spacing w:after="0"/>
        <w:rPr>
          <w:rFonts w:ascii="Times New Roman" w:eastAsia="Times New Roman" w:hAnsi="Times New Roman" w:cs="Times New Roman"/>
          <w:sz w:val="24"/>
          <w:szCs w:val="24"/>
        </w:rPr>
      </w:pPr>
    </w:p>
    <w:p w14:paraId="61DCE38E" w14:textId="77777777" w:rsidR="00EB23EE" w:rsidRDefault="00EB23EE">
      <w:pPr>
        <w:spacing w:after="0"/>
        <w:rPr>
          <w:rFonts w:ascii="Times New Roman" w:eastAsia="Times New Roman" w:hAnsi="Times New Roman" w:cs="Times New Roman"/>
          <w:sz w:val="24"/>
          <w:szCs w:val="24"/>
        </w:rPr>
      </w:pPr>
    </w:p>
    <w:p w14:paraId="68ACEBEF" w14:textId="77777777" w:rsidR="003A1CF0" w:rsidRDefault="003A1CF0">
      <w:pPr>
        <w:spacing w:after="0"/>
        <w:rPr>
          <w:rFonts w:ascii="Times New Roman" w:eastAsia="Times New Roman" w:hAnsi="Times New Roman" w:cs="Times New Roman"/>
          <w:sz w:val="24"/>
          <w:szCs w:val="24"/>
        </w:rPr>
      </w:pPr>
    </w:p>
    <w:p w14:paraId="640FF75E" w14:textId="77777777" w:rsidR="003A1CF0" w:rsidRPr="003A1CF0" w:rsidRDefault="003A1CF0" w:rsidP="003A1CF0">
      <w:pPr>
        <w:spacing w:after="200" w:line="240" w:lineRule="auto"/>
        <w:jc w:val="center"/>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b/>
          <w:bCs/>
          <w:sz w:val="24"/>
          <w:szCs w:val="24"/>
          <w:lang w:val="et-EE" w:eastAsia="en-GB"/>
        </w:rPr>
        <w:t>SELETUSKIRI</w:t>
      </w:r>
    </w:p>
    <w:p w14:paraId="5391B1BB" w14:textId="77777777" w:rsidR="003A1CF0" w:rsidRPr="003A1CF0" w:rsidRDefault="003A1CF0" w:rsidP="003A1CF0">
      <w:pPr>
        <w:spacing w:after="300" w:line="240" w:lineRule="auto"/>
        <w:jc w:val="center"/>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b/>
          <w:bCs/>
          <w:sz w:val="24"/>
          <w:szCs w:val="24"/>
          <w:lang w:val="et-EE" w:eastAsia="en-GB"/>
        </w:rPr>
        <w:t>Kanepi Vallavolikogu määruse "Kanepi valla eelarvest mittetulunduslikuks tegevuseks toetuste andmise kord" eelnõu juurde</w:t>
      </w:r>
    </w:p>
    <w:p w14:paraId="175C31F2" w14:textId="77777777" w:rsidR="003A1CF0" w:rsidRPr="003A1CF0" w:rsidRDefault="003A1CF0" w:rsidP="003A1CF0">
      <w:pPr>
        <w:spacing w:before="200"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b/>
          <w:bCs/>
          <w:sz w:val="24"/>
          <w:szCs w:val="24"/>
          <w:lang w:val="et-EE" w:eastAsia="en-GB"/>
        </w:rPr>
        <w:t>1. Sissejuhatus</w:t>
      </w:r>
    </w:p>
    <w:p w14:paraId="46F4D0AE"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Käesoleva seletuskirjaga selgitatakse Kanepi Vallavolikogu määruse "Kanepi valla eelarvest mittetulunduslikuks tegevuseks toetuste andmise kord" (edaspidi eelnõu või uus kord) eesmärki, sisu ja selle vastuvõtmisega kaasnevaid muudatusi võrreldes kehtiva Kanepi Vallavolikogu 21.09.2023 määrusega nr 14 "Kanepi valla eelarvest mittetulunduslikuks tegevuseks toetuse andmise kord" (edaspidi kehtiv kord).</w:t>
      </w:r>
    </w:p>
    <w:p w14:paraId="60B86975" w14:textId="77777777" w:rsidR="003A1CF0" w:rsidRPr="003A1CF0" w:rsidRDefault="003A1CF0" w:rsidP="003A1CF0">
      <w:pPr>
        <w:spacing w:before="200"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b/>
          <w:bCs/>
          <w:sz w:val="24"/>
          <w:szCs w:val="24"/>
          <w:lang w:val="et-EE" w:eastAsia="en-GB"/>
        </w:rPr>
        <w:t>2. Eelnõu ettevalmistamise vajadus ja praktikas ilmnenud probleemid</w:t>
      </w:r>
    </w:p>
    <w:p w14:paraId="1DB292CF"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Kehtiva korra rakendamisel on ilmnenud mitmeid tõlgendusprobleeme ja määruse puudujääke. Esile on tulnud järgmised kehtiva korra puudused:</w:t>
      </w:r>
    </w:p>
    <w:p w14:paraId="66B6D8DA" w14:textId="77777777" w:rsidR="003A1CF0" w:rsidRPr="003A1CF0" w:rsidRDefault="003A1CF0" w:rsidP="003A1CF0">
      <w:pPr>
        <w:spacing w:after="120" w:line="240" w:lineRule="auto"/>
        <w:ind w:left="360"/>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 xml:space="preserve">1) korras ei olnud üheselt arusaadav toetatud tegevuse elluviimise periood, taotluse esitamise periood. </w:t>
      </w:r>
    </w:p>
    <w:p w14:paraId="0FAA123E" w14:textId="77777777" w:rsidR="003A1CF0" w:rsidRPr="003A1CF0" w:rsidRDefault="003A1CF0" w:rsidP="003A1CF0">
      <w:pPr>
        <w:spacing w:after="120" w:line="240" w:lineRule="auto"/>
        <w:ind w:left="360"/>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2) korra eri paragrahvid kasutasid taotlejate ringi kirjeldamisel ebaühtlast terminoloogiat ("mittetulundusühendus" versus "mittetulundusühing"), mis tekitas ebaselgust, kas tegevustoetust ja kaasfinantseeringut on õigus taotleda ka sihtasutustel ja seltsingutel, kuigi korra üldsäte (§ 4 lõige 1) seda üldiselt lubab;</w:t>
      </w:r>
    </w:p>
    <w:p w14:paraId="0A8A8F59" w14:textId="77777777" w:rsidR="003A1CF0" w:rsidRPr="003A1CF0" w:rsidRDefault="003A1CF0" w:rsidP="003A1CF0">
      <w:pPr>
        <w:spacing w:after="120" w:line="240" w:lineRule="auto"/>
        <w:ind w:left="360"/>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3) korras puudus selge juhis selle kohta, kuidas peab taotluse eelarve olema seotud tegevuskavas kirjeldatud tegevustega;</w:t>
      </w:r>
    </w:p>
    <w:p w14:paraId="00A9ED01" w14:textId="77777777" w:rsidR="003A1CF0" w:rsidRPr="003A1CF0" w:rsidRDefault="003A1CF0" w:rsidP="003A1CF0">
      <w:pPr>
        <w:spacing w:after="120" w:line="240" w:lineRule="auto"/>
        <w:ind w:left="360"/>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4) hindamise põhimõtted ei olnud korras kirjeldatud;</w:t>
      </w:r>
    </w:p>
    <w:p w14:paraId="11F5DE29" w14:textId="77777777" w:rsidR="003A1CF0" w:rsidRPr="003A1CF0" w:rsidRDefault="003A1CF0" w:rsidP="003A1CF0">
      <w:pPr>
        <w:spacing w:after="120" w:line="240" w:lineRule="auto"/>
        <w:ind w:left="360"/>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5) korras olnud säte huvide konflikti vältimiseks taotluste hindamisel vajas täiendamist.</w:t>
      </w:r>
    </w:p>
    <w:p w14:paraId="2058977A" w14:textId="77777777" w:rsidR="003A1CF0" w:rsidRPr="003A1CF0" w:rsidRDefault="003A1CF0" w:rsidP="003A1CF0">
      <w:pPr>
        <w:spacing w:before="200"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b/>
          <w:bCs/>
          <w:sz w:val="24"/>
          <w:szCs w:val="24"/>
          <w:lang w:val="et-EE" w:eastAsia="en-GB"/>
        </w:rPr>
        <w:t>3. Eelnõu sisu ja muudatused võrreldes kehtiva korraga</w:t>
      </w:r>
    </w:p>
    <w:p w14:paraId="01B7D45D"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b/>
          <w:bCs/>
          <w:sz w:val="24"/>
          <w:szCs w:val="24"/>
          <w:lang w:val="et-EE" w:eastAsia="en-GB"/>
        </w:rPr>
        <w:t>3.1. Mõistete täpsustamine (§ 3)</w:t>
      </w:r>
    </w:p>
    <w:p w14:paraId="045AB5FD"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Eelnõusse on lisatud uued mõisted:</w:t>
      </w:r>
    </w:p>
    <w:p w14:paraId="27045D9A" w14:textId="77777777" w:rsidR="003A1CF0" w:rsidRPr="003A1CF0" w:rsidRDefault="003A1CF0" w:rsidP="003A1CF0">
      <w:pPr>
        <w:numPr>
          <w:ilvl w:val="0"/>
          <w:numId w:val="1"/>
        </w:numPr>
        <w:spacing w:after="0"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"järjepidev tegevus" (§ 3 punkt 9) kui tegevus, mis toimub regulaarselt kindla mustri alusel (näiteks hooajaliselt, iga-aastaselt või muul viisil korduvalt) ning mis ei ole ühekordne projekt. Mõiste on defineeritud tegevuse struktuurse mustri, mitte konkreetse aastate arvu kaudu — see tähendab, et hinnata tuleb tegevuse korduvat, plaanipärast iseloomu (nt iga-aastane suveprogramm, hooajaline etendustegevus), mitte ainult seda, mitu aastat ühendus on tegutsenud. Selline lähenemine on paindlikum ja väldib olukorda, kus taotleja saaks toetuse eesmärgist kõrvale hoida pelgalt formaalse aastate arvu tõttu;</w:t>
      </w:r>
    </w:p>
    <w:p w14:paraId="3144E0B8" w14:textId="1B1E4960" w:rsidR="00735001" w:rsidRDefault="003A1CF0" w:rsidP="00735001">
      <w:pPr>
        <w:numPr>
          <w:ilvl w:val="0"/>
          <w:numId w:val="1"/>
        </w:numPr>
        <w:spacing w:after="0" w:line="240" w:lineRule="auto"/>
        <w:jc w:val="both"/>
        <w:rPr>
          <w:rFonts w:ascii="Times New Roman" w:eastAsia="Times New Roman" w:hAnsi="Times New Roman" w:cs="Times New Roman"/>
          <w:sz w:val="24"/>
          <w:szCs w:val="24"/>
          <w:lang w:val="et-EE" w:eastAsia="en-GB"/>
        </w:rPr>
      </w:pPr>
      <w:r w:rsidRPr="003A1CF0">
        <w:rPr>
          <w:rFonts w:ascii="Times New Roman" w:eastAsia="Times New Roman" w:hAnsi="Times New Roman" w:cs="Times New Roman"/>
          <w:sz w:val="24"/>
          <w:szCs w:val="24"/>
          <w:lang w:val="et-EE" w:eastAsia="en-GB"/>
        </w:rPr>
        <w:t>"mittetulundusühendus" (§ 3 punkt 10), mis hõlmab mittetulundusühingut, sihtasutust ja seltsingut. See ühtlustab korra läbivat terminoloogiat: kuna § 4 lõige 1 lubab toetust taotleda kõigil kolmel ühenduse</w:t>
      </w:r>
      <w:r w:rsidR="00A0218F">
        <w:rPr>
          <w:rFonts w:ascii="Times New Roman" w:eastAsia="Times New Roman" w:hAnsi="Times New Roman" w:cs="Times New Roman"/>
          <w:sz w:val="24"/>
          <w:szCs w:val="24"/>
          <w:lang w:val="et-EE" w:eastAsia="en-GB"/>
        </w:rPr>
        <w:t xml:space="preserve"> </w:t>
      </w:r>
      <w:r w:rsidRPr="003A1CF0">
        <w:rPr>
          <w:rFonts w:ascii="Times New Roman" w:eastAsia="Times New Roman" w:hAnsi="Times New Roman" w:cs="Times New Roman"/>
          <w:sz w:val="24"/>
          <w:szCs w:val="24"/>
          <w:lang w:val="et-EE" w:eastAsia="en-GB"/>
        </w:rPr>
        <w:t>vormil, on nüüd sama laiendatud sõnastus kasutusel läbivalt ka tegevustoetuse (§ 6) ja kaasfinantseeringu (§ 7) sätetes, kus varasemalt oli ekslikult kasutusel kitsam mõiste "mittetulundusühing". Muudatus ei kitsenda ega laienda sisuliselt toetuse eesmärki, vaid kõrvaldab korrasisese vastuolu;</w:t>
      </w:r>
    </w:p>
    <w:p w14:paraId="0A5D8414" w14:textId="07004ADE" w:rsidR="003A1CF0" w:rsidRDefault="003A1CF0" w:rsidP="00735001">
      <w:pPr>
        <w:numPr>
          <w:ilvl w:val="0"/>
          <w:numId w:val="1"/>
        </w:numPr>
        <w:spacing w:after="0" w:line="240" w:lineRule="auto"/>
        <w:jc w:val="both"/>
        <w:rPr>
          <w:rFonts w:ascii="Times New Roman" w:eastAsia="Times New Roman" w:hAnsi="Times New Roman" w:cs="Times New Roman"/>
          <w:sz w:val="24"/>
          <w:szCs w:val="24"/>
          <w:lang w:val="et-EE" w:eastAsia="en-GB"/>
        </w:rPr>
      </w:pPr>
      <w:r w:rsidRPr="00735001">
        <w:rPr>
          <w:rFonts w:ascii="Times New Roman" w:eastAsia="Times New Roman" w:hAnsi="Times New Roman" w:cs="Times New Roman"/>
          <w:sz w:val="24"/>
          <w:szCs w:val="24"/>
          <w:lang w:val="et-EE" w:eastAsia="en-GB"/>
        </w:rPr>
        <w:t>„eelarveaasta“ on periood mille jooksul tuleb taotletav tegevus ellu viia ja mis aasta eelarvest vahendeid eraldatakse.</w:t>
      </w:r>
    </w:p>
    <w:p w14:paraId="4B4BF9E8" w14:textId="77777777" w:rsidR="00265944" w:rsidRPr="00735001" w:rsidRDefault="00265944" w:rsidP="00735001">
      <w:pPr>
        <w:numPr>
          <w:ilvl w:val="0"/>
          <w:numId w:val="1"/>
        </w:numPr>
        <w:spacing w:after="0" w:line="240" w:lineRule="auto"/>
        <w:jc w:val="both"/>
        <w:rPr>
          <w:rFonts w:ascii="Times New Roman" w:eastAsia="Times New Roman" w:hAnsi="Times New Roman" w:cs="Times New Roman"/>
          <w:sz w:val="24"/>
          <w:szCs w:val="24"/>
          <w:lang w:val="et-EE" w:eastAsia="en-GB"/>
        </w:rPr>
      </w:pPr>
    </w:p>
    <w:p w14:paraId="40A0ACBC"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b/>
          <w:bCs/>
          <w:sz w:val="24"/>
          <w:szCs w:val="24"/>
          <w:lang w:val="et-EE" w:eastAsia="en-GB"/>
        </w:rPr>
        <w:t>3.2. Eelarve ja tegevuste seose nõude selgitamine (§ 5 lõige 1)</w:t>
      </w:r>
    </w:p>
    <w:p w14:paraId="6F0F8E59" w14:textId="4AFB6CDA"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Toetust antakse konkreetse tegevuse ellu viimiseks. Seega pea</w:t>
      </w:r>
      <w:r w:rsidR="00BB191E">
        <w:rPr>
          <w:rFonts w:ascii="Times New Roman" w:eastAsia="Times New Roman" w:hAnsi="Times New Roman" w:cs="Times New Roman"/>
          <w:sz w:val="24"/>
          <w:szCs w:val="24"/>
          <w:lang w:val="et-EE" w:eastAsia="en-GB"/>
        </w:rPr>
        <w:t>vad</w:t>
      </w:r>
      <w:r w:rsidRPr="003A1CF0">
        <w:rPr>
          <w:rFonts w:ascii="Times New Roman" w:eastAsia="Times New Roman" w:hAnsi="Times New Roman" w:cs="Times New Roman"/>
          <w:sz w:val="24"/>
          <w:szCs w:val="24"/>
          <w:lang w:val="et-EE" w:eastAsia="en-GB"/>
        </w:rPr>
        <w:t xml:space="preserve"> taotlus ja eelarve </w:t>
      </w:r>
      <w:r w:rsidR="00BB191E">
        <w:rPr>
          <w:rFonts w:ascii="Times New Roman" w:eastAsia="Times New Roman" w:hAnsi="Times New Roman" w:cs="Times New Roman"/>
          <w:sz w:val="24"/>
          <w:szCs w:val="24"/>
          <w:lang w:val="et-EE" w:eastAsia="en-GB"/>
        </w:rPr>
        <w:t xml:space="preserve">olema </w:t>
      </w:r>
      <w:r w:rsidRPr="003A1CF0">
        <w:rPr>
          <w:rFonts w:ascii="Times New Roman" w:eastAsia="Times New Roman" w:hAnsi="Times New Roman" w:cs="Times New Roman"/>
          <w:sz w:val="24"/>
          <w:szCs w:val="24"/>
          <w:lang w:val="et-EE" w:eastAsia="en-GB"/>
        </w:rPr>
        <w:t>omavahel kooskõlas, st olema jälgitav ja kokkuviidav taotlusvormi eelarve r</w:t>
      </w:r>
      <w:r w:rsidR="005D3D4F">
        <w:rPr>
          <w:rFonts w:ascii="Times New Roman" w:eastAsia="Times New Roman" w:hAnsi="Times New Roman" w:cs="Times New Roman"/>
          <w:sz w:val="24"/>
          <w:szCs w:val="24"/>
          <w:lang w:val="et-EE" w:eastAsia="en-GB"/>
        </w:rPr>
        <w:t>idadega</w:t>
      </w:r>
      <w:r w:rsidRPr="003A1CF0">
        <w:rPr>
          <w:rFonts w:ascii="Times New Roman" w:eastAsia="Times New Roman" w:hAnsi="Times New Roman" w:cs="Times New Roman"/>
          <w:sz w:val="24"/>
          <w:szCs w:val="24"/>
          <w:lang w:val="et-EE" w:eastAsia="en-GB"/>
        </w:rPr>
        <w:t xml:space="preserve"> ja lisana </w:t>
      </w:r>
      <w:r w:rsidRPr="003A1CF0">
        <w:rPr>
          <w:rFonts w:ascii="Times New Roman" w:eastAsia="Times New Roman" w:hAnsi="Times New Roman" w:cs="Times New Roman"/>
          <w:sz w:val="24"/>
          <w:szCs w:val="24"/>
          <w:lang w:val="et-EE" w:eastAsia="en-GB"/>
        </w:rPr>
        <w:lastRenderedPageBreak/>
        <w:t>esitatav eelarve. Praktikas on soovitatav, et taotleja tooks eelarves iga kulurea juurde selgelt välja, milliseid konkreetseid tegevusi/sündmusi see kulurida sisaldab (näiteks: helitehnika xx eurot, külapäev YYY eurot, eraldi ridadena). Selliselt tuleb  taotlusvorm  täita ning juhised antakse vormil ja/või vallavalitsuse veebilehe kaudu ning seda ei ole vajalik sätestada määruse tasandil, kuna tegemist on pigem taotluse vormistamise kui õigusliku nõudega.</w:t>
      </w:r>
    </w:p>
    <w:p w14:paraId="42D4D54F"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b/>
          <w:bCs/>
          <w:sz w:val="24"/>
          <w:szCs w:val="24"/>
          <w:lang w:val="et-EE" w:eastAsia="en-GB"/>
        </w:rPr>
        <w:t>3.3. Tegevustoetust välistavad asjaolud ja nende õiguslik taust (§ 5 lõige 3 punktid 10–11, § 6 lõige 6)</w:t>
      </w:r>
    </w:p>
    <w:p w14:paraId="7A07FD9B" w14:textId="40D0928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 xml:space="preserve">Kirjeldatakse lahti põhimõte, et toetust ei anta ühendustele, mille põhitegevus on korrapäraste teatrietenduste, kontsertide, festivalide või muude piletitulul põhinevate sündmuste korraldamine, samuti ühendustele, kelle taotletav tegevus on osa tavapärasest tasulisest teenusest või regulaarsest sündmuste programmist. Kuna toetuse andmise eesmärk on toetada ja arendada külade õhinapõhiste sädeinimestega kogukondi. </w:t>
      </w:r>
    </w:p>
    <w:p w14:paraId="1F990F35"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Seletuskirjas selgitatakse täiendavalt, miks selline välistus on põhjendatud ka õiguslikust aspektist, mitte üksnes otstarbekuse kaalutlusel: kui kohaliku omavalitsuse toetus antaks ühendusele, kes tegeleb majandustegevusega (nt tasuliste teenuste või piletite müügiga), võib abi kvalifitseeruda riigiabiks Euroopa Liidu toimimise lepingu artikli 107 lõike 1 tähenduses. Riigiabi tuvastamisel lähtutakse neljast kumulatiivsest kriteeriumist: abi antakse riigi, linna või valla vahenditest; abimeede on suunatud kindlale ettevõtjale või ettevõtjate grupile; abimeede annab abisaajale eelise; ning abimeede moonutab või võib moonutada konkurentsi ja liikmesriikidevahelist kaubandust. Kui kõik neli tunnust on täidetud, kohaldub riigiabi regulatsioon, mis toob abi andjale (antud juhul vallale) kaasa täiendavaid menetluslikke kohustusi (sh vähese tähtsusega abi andmisel abisaaja teavitamine ja andmete registreerimine Rahandusministeeriumi peetavas riigiabi ja vähese tähtsusega abi registris vastavalt konkurentsiseaduse §-le 33).</w:t>
      </w:r>
    </w:p>
    <w:p w14:paraId="4DE92D4F"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Kanepi valla mittetulundusliku tegevuse toetuste meetme sihtrühm on eelkõige vabatahtlikkusel põhinevad külakogukonnad, mitte majandustegevusega tegelevad ühendused, on korra ülesehituse loogika (majandustegevusega ühenduste väljajätmine juba tegevusala ja taotlejaringi tasandil) asjakohane viis vältida riigiabi regulatsiooni kohaldumist meetmele tervikuna. Kuna toetussummad on väikesed (kuni 3000 eurot) ja meetme sihtrühm on juba sisuliselt piiratud vabatahtlikkusel põhinevate kogukondlike ühendustega, ei ole eraldi vähese tähtsusega abi menetlusnormi määrusesse lisamine otstarbekas ega proportsionaalne — täiendav menetlusnõue tekitaks pigem ülereguleerimist ega ole kooskõlas meetme väikesemahulise ja kogukondliku iseloomuga.</w:t>
      </w:r>
    </w:p>
    <w:p w14:paraId="057C0D5D"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Lisaks on § 5 lõike 3 juurde lisatud uus välistus (punkt 13): toetust ei anta üritustele või sündmustele, mis propageerivad alkoholi või muude meelemürkide tarbimist. Tegemist on korra eesmärkidega kooskõlas oleva täpsustusega, mis tuleneb üldisest vajadusest välistada avaliku raha kasutamine tervist kahjustavat käitumist propageerivate ürituste toetamiseks.</w:t>
      </w:r>
    </w:p>
    <w:p w14:paraId="03195E37"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b/>
          <w:bCs/>
          <w:sz w:val="24"/>
          <w:szCs w:val="24"/>
          <w:lang w:val="et-EE" w:eastAsia="en-GB"/>
        </w:rPr>
        <w:t>3.4. Hindamiskomisjoni koosseis ja huvide konflikti vältimine (§ 11 lõiked 1 ja 8)</w:t>
      </w:r>
    </w:p>
    <w:p w14:paraId="7F4004A5"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Eelnõu täpsustab, et hindamiskomisjoni koosseisu kuuluvad vallavolikogu spordi- ja kultuurikomisjoni esindajad ning vallavalitsuse kultuuri-, spordi- ja arendusvaldkonna ametnikud. See tagab komisjoni koosseisu läbipaistvuse ja sisulise pädevuse taotluste hindamiseks.</w:t>
      </w:r>
    </w:p>
    <w:p w14:paraId="55FF35A3"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Täiendavalt on lisatud huvide konflikti vältimise säte (§ 11 lõige 8), mille kohaselt taandab taotluste läbivaatamises, ettepanekute esitamises või hindamises osalev isik ennast, kui esineb huvide konflikt korruptsioonivastase seaduse tähenduses, samuti ei tohi hindamises osaleda isik, kes on taotlejaga seotud või kes on samas taotlusvoorus ise taotluse esitanud. Säte tugevdab hindamismenetluse usaldusväärsust ja on kooskõlas hea halduse põhimõtetega.</w:t>
      </w:r>
    </w:p>
    <w:p w14:paraId="5D7A220E" w14:textId="77777777" w:rsidR="003A1CF0" w:rsidRPr="003A1CF0" w:rsidRDefault="003A1CF0" w:rsidP="003A1CF0">
      <w:pPr>
        <w:spacing w:before="200"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b/>
          <w:bCs/>
          <w:sz w:val="24"/>
          <w:szCs w:val="24"/>
          <w:lang w:val="et-EE" w:eastAsia="en-GB"/>
        </w:rPr>
        <w:t>4. Vastavus kõrgemalseisvatele õigusaktidele</w:t>
      </w:r>
    </w:p>
    <w:p w14:paraId="31794F79" w14:textId="7DF7FFC2"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 xml:space="preserve">Eelnõu on koostatud kooskõlas kohaliku omavalitsuse korralduse seaduse § 22 lõike 1 punktiga 5, mille alusel on vallavolikogu pädevuses toetuste andmise korra kehtestamine. Eelnõu ei lähe vastuollu mittetulundusühingute seaduse, sihtasutuste seaduse ega korruptsioonivastase </w:t>
      </w:r>
      <w:r w:rsidRPr="003A1CF0">
        <w:rPr>
          <w:rFonts w:ascii="Times New Roman" w:eastAsia="Times New Roman" w:hAnsi="Times New Roman" w:cs="Times New Roman"/>
          <w:sz w:val="24"/>
          <w:szCs w:val="24"/>
          <w:lang w:val="et-EE" w:eastAsia="en-GB"/>
        </w:rPr>
        <w:lastRenderedPageBreak/>
        <w:t>seadusega. Eelnõu koostamisel on arvestatud haldusmenetluse seaduse §-s 56 sätestatud haldusakti põhjendamiskohustusega, mistõttu on korda täiendatud selgemate hindamiskriteeriumide ja põhjendamisnõuetega, mis aitavad tulevikus vältida vaidlusi taotluste rahuldamata jätmise põhjendatuse üle.</w:t>
      </w:r>
    </w:p>
    <w:p w14:paraId="15EAAD60" w14:textId="77777777" w:rsidR="003A1CF0" w:rsidRPr="003A1CF0" w:rsidRDefault="003A1CF0" w:rsidP="003A1CF0">
      <w:pPr>
        <w:spacing w:before="200"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b/>
          <w:bCs/>
          <w:sz w:val="24"/>
          <w:szCs w:val="24"/>
          <w:lang w:val="et-EE" w:eastAsia="en-GB"/>
        </w:rPr>
        <w:t>5. Eelnõu vastuvõtmisega kaasnevad mõjud</w:t>
      </w:r>
    </w:p>
    <w:p w14:paraId="6709FC3D"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sz w:val="24"/>
          <w:szCs w:val="24"/>
          <w:lang w:val="et-EE" w:eastAsia="en-GB"/>
        </w:rPr>
        <w:t>Eelnõu vastuvõtmine ei too kaasa täiendavat rahalist kulu vallaeelarvele. Toetuste kogumahu kinnitab vallavolikogu iga aastaselt eelarve vastuvõtmisel. Maksimaalne toetussumma taotleja kohta (kuni 3000 eurot) jääb muutmata. Mõju avaldub eelkõige menetluse selguse ja õiguskindluse paranemisele: täpsustatud mõisted ja hindamiskomisjoni koosseisu kirjeldus vähendavad tõenäosust, et tulevikus tekib vähem tõlgendusvaidlusi. Hindamiskomisjoni koosseisu kirjeldamine ei too kaasa lisakulu, kuna komisjoni liikmed (volikogu spordi- ja kultuurikomisjoni esindajad, vallavalitsuse ametnikud) täidavad ülesannet oma tavapärase teenistus- või esindusülesande raames.</w:t>
      </w:r>
    </w:p>
    <w:p w14:paraId="051E8B21" w14:textId="77777777" w:rsidR="003A1CF0" w:rsidRPr="003A1CF0" w:rsidRDefault="003A1CF0" w:rsidP="003A1CF0">
      <w:pPr>
        <w:spacing w:before="200" w:line="240" w:lineRule="auto"/>
        <w:jc w:val="both"/>
        <w:rPr>
          <w:rFonts w:ascii="Times New Roman" w:eastAsia="Times New Roman" w:hAnsi="Times New Roman" w:cs="Times New Roman"/>
          <w:sz w:val="20"/>
          <w:szCs w:val="20"/>
          <w:lang w:val="et-EE" w:eastAsia="en-GB"/>
        </w:rPr>
      </w:pPr>
      <w:r w:rsidRPr="003A1CF0">
        <w:rPr>
          <w:rFonts w:ascii="Times New Roman" w:eastAsia="Times New Roman" w:hAnsi="Times New Roman" w:cs="Times New Roman"/>
          <w:b/>
          <w:bCs/>
          <w:sz w:val="24"/>
          <w:szCs w:val="24"/>
          <w:lang w:val="et-EE" w:eastAsia="en-GB"/>
        </w:rPr>
        <w:t>6. Määruse jõustumine</w:t>
      </w:r>
    </w:p>
    <w:p w14:paraId="7FCC11BA" w14:textId="77777777" w:rsidR="003A1CF0" w:rsidRPr="003A1CF0" w:rsidRDefault="003A1CF0" w:rsidP="003A1CF0">
      <w:pPr>
        <w:spacing w:line="240" w:lineRule="auto"/>
        <w:jc w:val="both"/>
        <w:rPr>
          <w:rFonts w:ascii="Times New Roman" w:eastAsia="Times New Roman" w:hAnsi="Times New Roman" w:cs="Times New Roman"/>
          <w:sz w:val="24"/>
          <w:szCs w:val="24"/>
          <w:lang w:val="et-EE" w:eastAsia="en-GB"/>
        </w:rPr>
      </w:pPr>
      <w:r w:rsidRPr="003A1CF0">
        <w:rPr>
          <w:rFonts w:ascii="Times New Roman" w:eastAsia="Times New Roman" w:hAnsi="Times New Roman" w:cs="Times New Roman"/>
          <w:sz w:val="24"/>
          <w:szCs w:val="24"/>
          <w:lang w:val="et-EE" w:eastAsia="en-GB"/>
        </w:rPr>
        <w:t>Määrus jõustub üldises korras, kolmandal päeval pärast Riigi Teatajas avaldamist. Kuna eelnõu ei muuda toetuse maksimaalset summat ega kärbi taotlejate ringi, ei ole vajalik eraldi üleminekuperioodi kehtestamine juba menetluses olevate taotluste jaoks.</w:t>
      </w:r>
    </w:p>
    <w:p w14:paraId="52D11B3C" w14:textId="77777777" w:rsidR="003A1CF0" w:rsidRPr="003A1CF0" w:rsidRDefault="003A1CF0" w:rsidP="003A1CF0">
      <w:pPr>
        <w:spacing w:before="200" w:line="240" w:lineRule="auto"/>
        <w:jc w:val="both"/>
        <w:rPr>
          <w:rFonts w:ascii="Times New Roman" w:eastAsia="Times New Roman" w:hAnsi="Times New Roman" w:cs="Times New Roman"/>
          <w:b/>
          <w:bCs/>
          <w:sz w:val="24"/>
          <w:szCs w:val="24"/>
          <w:lang w:val="et-EE" w:eastAsia="en-GB"/>
        </w:rPr>
      </w:pPr>
      <w:r w:rsidRPr="003A1CF0">
        <w:rPr>
          <w:rFonts w:ascii="Times New Roman" w:eastAsia="Times New Roman" w:hAnsi="Times New Roman" w:cs="Times New Roman"/>
          <w:b/>
          <w:bCs/>
          <w:sz w:val="24"/>
          <w:szCs w:val="24"/>
          <w:lang w:val="et-EE" w:eastAsia="en-GB"/>
        </w:rPr>
        <w:t>7. Eelnõu kooskõlastamine ja arvamuste avaldamine</w:t>
      </w:r>
    </w:p>
    <w:p w14:paraId="3B0EA0A4" w14:textId="01070575" w:rsidR="003A1CF0" w:rsidRPr="003A1CF0" w:rsidRDefault="003A1CF0" w:rsidP="003A1CF0">
      <w:pPr>
        <w:spacing w:line="240" w:lineRule="auto"/>
        <w:jc w:val="both"/>
        <w:rPr>
          <w:rFonts w:ascii="Times New Roman" w:eastAsia="Times New Roman" w:hAnsi="Times New Roman" w:cs="Times New Roman"/>
          <w:sz w:val="24"/>
          <w:szCs w:val="24"/>
          <w:lang w:val="et-EE" w:eastAsia="en-GB"/>
        </w:rPr>
      </w:pPr>
      <w:r w:rsidRPr="003A1CF0">
        <w:rPr>
          <w:rFonts w:ascii="Times New Roman" w:eastAsia="Times New Roman" w:hAnsi="Times New Roman" w:cs="Times New Roman"/>
          <w:sz w:val="24"/>
          <w:szCs w:val="24"/>
          <w:lang w:val="et-EE" w:eastAsia="en-GB"/>
        </w:rPr>
        <w:t>Eelnõu on koostatud koostöös Kanepi Vallavalitsuse arendusspetsialisti</w:t>
      </w:r>
      <w:r>
        <w:rPr>
          <w:rFonts w:ascii="Times New Roman" w:eastAsia="Times New Roman" w:hAnsi="Times New Roman" w:cs="Times New Roman"/>
          <w:sz w:val="24"/>
          <w:szCs w:val="24"/>
          <w:lang w:val="et-EE" w:eastAsia="en-GB"/>
        </w:rPr>
        <w:t>ga</w:t>
      </w:r>
      <w:r w:rsidRPr="003A1CF0">
        <w:rPr>
          <w:rFonts w:ascii="Times New Roman" w:eastAsia="Times New Roman" w:hAnsi="Times New Roman" w:cs="Times New Roman"/>
          <w:sz w:val="24"/>
          <w:szCs w:val="24"/>
          <w:lang w:val="et-EE" w:eastAsia="en-GB"/>
        </w:rPr>
        <w:t xml:space="preserve"> Aivi Saag, </w:t>
      </w:r>
      <w:r w:rsidRPr="003A1CF0">
        <w:rPr>
          <w:rFonts w:ascii="Times New Roman" w:eastAsia="Times New Roman" w:hAnsi="Times New Roman" w:cs="Times New Roman"/>
          <w:sz w:val="24"/>
          <w:szCs w:val="24"/>
          <w:lang w:val="et-EE" w:eastAsia="en-GB"/>
        </w:rPr>
        <w:br/>
        <w:t>kultuuri ja avalike suhete spetsialisti</w:t>
      </w:r>
      <w:r>
        <w:rPr>
          <w:rFonts w:ascii="Times New Roman" w:eastAsia="Times New Roman" w:hAnsi="Times New Roman" w:cs="Times New Roman"/>
          <w:sz w:val="24"/>
          <w:szCs w:val="24"/>
          <w:lang w:val="et-EE" w:eastAsia="en-GB"/>
        </w:rPr>
        <w:t>ga</w:t>
      </w:r>
      <w:r w:rsidRPr="003A1CF0">
        <w:rPr>
          <w:rFonts w:ascii="Times New Roman" w:eastAsia="Times New Roman" w:hAnsi="Times New Roman" w:cs="Times New Roman"/>
          <w:sz w:val="24"/>
          <w:szCs w:val="24"/>
          <w:lang w:val="et-EE" w:eastAsia="en-GB"/>
        </w:rPr>
        <w:t xml:space="preserve"> Kairi Luik ja vallasekretäri</w:t>
      </w:r>
      <w:r>
        <w:rPr>
          <w:rFonts w:ascii="Times New Roman" w:eastAsia="Times New Roman" w:hAnsi="Times New Roman" w:cs="Times New Roman"/>
          <w:sz w:val="24"/>
          <w:szCs w:val="24"/>
          <w:lang w:val="et-EE" w:eastAsia="en-GB"/>
        </w:rPr>
        <w:t>ga</w:t>
      </w:r>
      <w:r w:rsidRPr="003A1CF0">
        <w:rPr>
          <w:rFonts w:ascii="Times New Roman" w:eastAsia="Times New Roman" w:hAnsi="Times New Roman" w:cs="Times New Roman"/>
          <w:sz w:val="24"/>
          <w:szCs w:val="24"/>
          <w:lang w:val="et-EE" w:eastAsia="en-GB"/>
        </w:rPr>
        <w:t>  Kristi Tamme. Eelnõu esitat</w:t>
      </w:r>
      <w:r w:rsidR="00375201">
        <w:rPr>
          <w:rFonts w:ascii="Times New Roman" w:eastAsia="Times New Roman" w:hAnsi="Times New Roman" w:cs="Times New Roman"/>
          <w:sz w:val="24"/>
          <w:szCs w:val="24"/>
          <w:lang w:val="et-EE" w:eastAsia="en-GB"/>
        </w:rPr>
        <w:t>i</w:t>
      </w:r>
      <w:r w:rsidRPr="003A1CF0">
        <w:rPr>
          <w:rFonts w:ascii="Times New Roman" w:eastAsia="Times New Roman" w:hAnsi="Times New Roman" w:cs="Times New Roman"/>
          <w:sz w:val="24"/>
          <w:szCs w:val="24"/>
          <w:lang w:val="et-EE" w:eastAsia="en-GB"/>
        </w:rPr>
        <w:t xml:space="preserve"> enne volikogus vastuvõtmist arvamuse avaldamiseks Kanepi Vallavalitsusele ja Kanepi Vallavolikogu kultuuri- ja spordikomisjonile. Kultuuri- ja spordikomisjon vaatas eelnõud 05.08.2026 toimunud koosolekul ja perioodil 03.09.-07.09.2026. Esitatud ettepanekuid arutati ning kaaluti vallavalitsuse istungitel 11.08.2026, 02.09.2026 ja 16.09.2026.</w:t>
      </w:r>
    </w:p>
    <w:p w14:paraId="3B35973C" w14:textId="77777777" w:rsidR="003A1CF0" w:rsidRPr="003A1CF0" w:rsidRDefault="003A1CF0" w:rsidP="003A1CF0">
      <w:pPr>
        <w:spacing w:line="240" w:lineRule="auto"/>
        <w:jc w:val="both"/>
        <w:rPr>
          <w:rFonts w:ascii="Times New Roman" w:eastAsia="Times New Roman" w:hAnsi="Times New Roman" w:cs="Times New Roman"/>
          <w:sz w:val="20"/>
          <w:szCs w:val="20"/>
          <w:lang w:val="et-EE" w:eastAsia="en-GB"/>
        </w:rPr>
      </w:pPr>
    </w:p>
    <w:p w14:paraId="656FF81D" w14:textId="77777777" w:rsidR="003A1CF0" w:rsidRDefault="003A1CF0">
      <w:pPr>
        <w:spacing w:after="0"/>
        <w:rPr>
          <w:rFonts w:ascii="Times New Roman" w:eastAsia="Times New Roman" w:hAnsi="Times New Roman" w:cs="Times New Roman"/>
          <w:sz w:val="24"/>
          <w:szCs w:val="24"/>
        </w:rPr>
      </w:pPr>
    </w:p>
    <w:sectPr w:rsidR="003A1CF0">
      <w:pgSz w:w="11906" w:h="16838"/>
      <w:pgMar w:top="454" w:right="1133" w:bottom="510" w:left="1701"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9B4CA4CC-FD6C-4ECB-B8EF-17B277A8A66E}"/>
    <w:embedBold r:id="rId2" w:fontKey="{1D7F644F-F014-4980-9F76-307F3A67FABB}"/>
  </w:font>
  <w:font w:name="Georgia">
    <w:panose1 w:val="02040502050405020303"/>
    <w:charset w:val="BA"/>
    <w:family w:val="roman"/>
    <w:pitch w:val="variable"/>
    <w:sig w:usb0="00000287" w:usb1="00000000" w:usb2="00000000" w:usb3="00000000" w:csb0="0000009F" w:csb1="00000000"/>
    <w:embedItalic r:id="rId3" w:fontKey="{72473BDA-D811-4D3C-82DE-3DCFC1A99282}"/>
  </w:font>
  <w:font w:name="Calibri Light">
    <w:panose1 w:val="020F0302020204030204"/>
    <w:charset w:val="BA"/>
    <w:family w:val="swiss"/>
    <w:pitch w:val="variable"/>
    <w:sig w:usb0="E4002EFF" w:usb1="C200247B" w:usb2="00000009" w:usb3="00000000" w:csb0="000001FF" w:csb1="00000000"/>
    <w:embedRegular r:id="rId4" w:fontKey="{3DF6627C-1A89-4D9C-A9C9-464FE30CF49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D43F9"/>
    <w:multiLevelType w:val="hybridMultilevel"/>
    <w:tmpl w:val="F698B97A"/>
    <w:lvl w:ilvl="0" w:tplc="A6324F4E">
      <w:start w:val="1"/>
      <w:numFmt w:val="decimal"/>
      <w:lvlText w:val="%1)"/>
      <w:lvlJc w:val="left"/>
      <w:pPr>
        <w:ind w:left="720" w:hanging="360"/>
      </w:pPr>
      <w:rPr>
        <w:rFonts w:hint="default"/>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78378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3EE"/>
    <w:rsid w:val="000D0E95"/>
    <w:rsid w:val="00150624"/>
    <w:rsid w:val="0017377A"/>
    <w:rsid w:val="0019090E"/>
    <w:rsid w:val="001A0492"/>
    <w:rsid w:val="00206DB7"/>
    <w:rsid w:val="00241EDC"/>
    <w:rsid w:val="00265944"/>
    <w:rsid w:val="00272A6B"/>
    <w:rsid w:val="002E15EF"/>
    <w:rsid w:val="00375201"/>
    <w:rsid w:val="003A1CF0"/>
    <w:rsid w:val="00446305"/>
    <w:rsid w:val="00586436"/>
    <w:rsid w:val="005D3D4F"/>
    <w:rsid w:val="005E4F1C"/>
    <w:rsid w:val="006E3B57"/>
    <w:rsid w:val="00735001"/>
    <w:rsid w:val="007774DD"/>
    <w:rsid w:val="00827327"/>
    <w:rsid w:val="00A0218F"/>
    <w:rsid w:val="00A916DE"/>
    <w:rsid w:val="00AE497A"/>
    <w:rsid w:val="00B80C93"/>
    <w:rsid w:val="00BA1E7D"/>
    <w:rsid w:val="00BA3807"/>
    <w:rsid w:val="00BB191E"/>
    <w:rsid w:val="00C205FF"/>
    <w:rsid w:val="00CB4B80"/>
    <w:rsid w:val="00DE19EA"/>
    <w:rsid w:val="00E17523"/>
    <w:rsid w:val="00EB23EE"/>
    <w:rsid w:val="00EE2342"/>
    <w:rsid w:val="00F14D1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CE291"/>
  <w15:docId w15:val="{35EE011E-5B88-463A-8A2D-62279CAE1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t"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CommentReference">
    <w:name w:val="annotation reference"/>
    <w:basedOn w:val="DefaultParagraphFont"/>
    <w:uiPriority w:val="99"/>
    <w:semiHidden/>
    <w:unhideWhenUsed/>
    <w:rsid w:val="00BE7711"/>
    <w:rPr>
      <w:sz w:val="16"/>
      <w:szCs w:val="16"/>
    </w:rPr>
  </w:style>
  <w:style w:type="paragraph" w:styleId="ListParagraph">
    <w:name w:val="List Paragraph"/>
    <w:uiPriority w:val="99"/>
    <w:unhideWhenUsed/>
    <w:rsid w:val="00912893"/>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mGRkegC3YlcPuinW6pAv8e7yGQ==">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4594</Words>
  <Characters>26649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 S</dc:creator>
  <cp:lastModifiedBy>Kristi Tamme</cp:lastModifiedBy>
  <cp:revision>14</cp:revision>
  <cp:lastPrinted>2026-09-15T13:06:00Z</cp:lastPrinted>
  <dcterms:created xsi:type="dcterms:W3CDTF">2026-09-17T07:55:00Z</dcterms:created>
  <dcterms:modified xsi:type="dcterms:W3CDTF">2026-09-17T09:02:00Z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45EE907A5EC64E3B9CEC268EBCCBC08D_12</vt:lpwstr>
  </property>
</Properties>
</file>